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4266" w:type="dxa"/>
        <w:tblInd w:w="108" w:type="dxa"/>
        <w:tblLayout w:type="fixed"/>
        <w:tblCellMar>
          <w:top w:w="150" w:type="dxa"/>
          <w:left w:w="150" w:type="dxa"/>
          <w:bottom w:w="150" w:type="dxa"/>
          <w:right w:w="150" w:type="dxa"/>
        </w:tblCellMar>
        <w:tblLook w:val="04A0"/>
      </w:tblPr>
      <w:tblGrid>
        <w:gridCol w:w="14266"/>
      </w:tblGrid>
      <w:tr w:rsidR="00C95B63" w:rsidRPr="00C95B63" w:rsidTr="00C95B63">
        <w:tc>
          <w:tcPr>
            <w:tcW w:w="14266" w:type="dxa"/>
            <w:tcBorders>
              <w:top w:val="nil"/>
              <w:left w:val="nil"/>
              <w:bottom w:val="nil"/>
              <w:right w:val="nil"/>
            </w:tcBorders>
            <w:shd w:val="clear" w:color="auto" w:fill="auto"/>
            <w:tcMar>
              <w:top w:w="0" w:type="dxa"/>
              <w:left w:w="0" w:type="dxa"/>
              <w:bottom w:w="0" w:type="dxa"/>
              <w:right w:w="0" w:type="dxa"/>
            </w:tcMar>
            <w:vAlign w:val="center"/>
            <w:hideMark/>
          </w:tcPr>
          <w:tbl>
            <w:tblPr>
              <w:tblW w:w="13553" w:type="dxa"/>
              <w:jc w:val="center"/>
              <w:tblInd w:w="0" w:type="dxa"/>
              <w:tblLayout w:type="fixed"/>
              <w:tblCellMar>
                <w:left w:w="0" w:type="dxa"/>
                <w:right w:w="0" w:type="dxa"/>
              </w:tblCellMar>
              <w:tblLook w:val="04A0"/>
            </w:tblPr>
            <w:tblGrid>
              <w:gridCol w:w="13553"/>
            </w:tblGrid>
            <w:tr w:rsidR="00C95B63" w:rsidRPr="00C95B63">
              <w:trPr>
                <w:trHeight w:val="900"/>
                <w:jc w:val="center"/>
              </w:trPr>
              <w:tc>
                <w:tcPr>
                  <w:tcW w:w="13553" w:type="dxa"/>
                  <w:tcBorders>
                    <w:top w:val="nil"/>
                    <w:left w:val="nil"/>
                    <w:bottom w:val="double" w:sz="2" w:space="0" w:color="000066"/>
                    <w:right w:val="nil"/>
                  </w:tcBorders>
                  <w:shd w:val="clear" w:color="auto" w:fill="auto"/>
                  <w:vAlign w:val="center"/>
                  <w:hideMark/>
                </w:tcPr>
                <w:p w:rsidR="00C95B63" w:rsidRPr="00C95B63" w:rsidRDefault="00C95B63" w:rsidP="00C95B63">
                  <w:pPr>
                    <w:widowControl/>
                    <w:adjustRightInd w:val="0"/>
                    <w:jc w:val="center"/>
                    <w:rPr>
                      <w:rFonts w:ascii="宋体" w:hAnsi="宋体" w:cs="宋体"/>
                      <w:kern w:val="0"/>
                      <w:sz w:val="24"/>
                    </w:rPr>
                  </w:pPr>
                  <w:r w:rsidRPr="00C95B63">
                    <w:rPr>
                      <w:rFonts w:ascii="宋体" w:hAnsi="宋体" w:cs="宋体" w:hint="eastAsia"/>
                      <w:sz w:val="32"/>
                      <w:szCs w:val="32"/>
                    </w:rPr>
                    <w:t>县道X106线（镇西-突泉）及</w:t>
                  </w:r>
                  <w:proofErr w:type="gramStart"/>
                  <w:r w:rsidRPr="00C95B63">
                    <w:rPr>
                      <w:rFonts w:ascii="宋体" w:hAnsi="宋体" w:cs="宋体" w:hint="eastAsia"/>
                      <w:sz w:val="32"/>
                      <w:szCs w:val="32"/>
                    </w:rPr>
                    <w:t>半拉山</w:t>
                  </w:r>
                  <w:proofErr w:type="gramEnd"/>
                  <w:r w:rsidRPr="00C95B63">
                    <w:rPr>
                      <w:rFonts w:ascii="宋体" w:hAnsi="宋体" w:cs="宋体" w:hint="eastAsia"/>
                      <w:sz w:val="32"/>
                      <w:szCs w:val="32"/>
                    </w:rPr>
                    <w:t>小桥改建工程</w:t>
                  </w:r>
                  <w:r w:rsidRPr="00C95B63">
                    <w:rPr>
                      <w:rFonts w:ascii="宋体" w:hAnsi="宋体" w:cs="宋体" w:hint="eastAsia"/>
                      <w:color w:val="000000"/>
                      <w:sz w:val="32"/>
                      <w:szCs w:val="32"/>
                    </w:rPr>
                    <w:t>拟审批公示</w:t>
                  </w:r>
                </w:p>
              </w:tc>
            </w:tr>
          </w:tbl>
          <w:p w:rsidR="00C95B63" w:rsidRPr="00C95B63" w:rsidRDefault="00C95B63" w:rsidP="00C95B63">
            <w:pPr>
              <w:widowControl/>
              <w:jc w:val="center"/>
              <w:rPr>
                <w:rFonts w:ascii="宋体" w:hAnsi="宋体" w:cs="宋体"/>
                <w:kern w:val="0"/>
                <w:sz w:val="24"/>
              </w:rPr>
            </w:pPr>
            <w:r w:rsidRPr="00C95B63">
              <w:rPr>
                <w:rFonts w:ascii="宋体" w:hAnsi="宋体" w:cs="宋体" w:hint="eastAsia"/>
                <w:color w:val="000000"/>
                <w:kern w:val="0"/>
                <w:sz w:val="18"/>
                <w:szCs w:val="18"/>
              </w:rPr>
              <w:t> </w:t>
            </w:r>
          </w:p>
        </w:tc>
      </w:tr>
      <w:tr w:rsidR="00C95B63" w:rsidRPr="00C95B63" w:rsidTr="00C95B63">
        <w:tc>
          <w:tcPr>
            <w:tcW w:w="14266" w:type="dxa"/>
            <w:tcBorders>
              <w:top w:val="nil"/>
              <w:left w:val="nil"/>
              <w:bottom w:val="nil"/>
              <w:right w:val="nil"/>
            </w:tcBorders>
            <w:shd w:val="clear" w:color="auto" w:fill="auto"/>
            <w:tcMar>
              <w:top w:w="0" w:type="dxa"/>
              <w:left w:w="0" w:type="dxa"/>
              <w:bottom w:w="0" w:type="dxa"/>
              <w:right w:w="0" w:type="dxa"/>
            </w:tcMar>
            <w:vAlign w:val="center"/>
            <w:hideMark/>
          </w:tcPr>
          <w:p w:rsidR="00C95B63" w:rsidRPr="00C95B63" w:rsidRDefault="00C95B63" w:rsidP="00C95B63">
            <w:pPr>
              <w:widowControl/>
              <w:jc w:val="center"/>
              <w:rPr>
                <w:rFonts w:ascii="宋体" w:hAnsi="宋体" w:cs="宋体"/>
                <w:kern w:val="0"/>
                <w:sz w:val="24"/>
              </w:rPr>
            </w:pPr>
            <w:r w:rsidRPr="00C95B63">
              <w:rPr>
                <w:rFonts w:ascii="宋体" w:hAnsi="宋体" w:cs="宋体" w:hint="eastAsia"/>
                <w:color w:val="000000"/>
                <w:kern w:val="0"/>
                <w:sz w:val="18"/>
                <w:szCs w:val="18"/>
              </w:rPr>
              <w:t> </w:t>
            </w:r>
          </w:p>
        </w:tc>
      </w:tr>
      <w:tr w:rsidR="00C95B63" w:rsidRPr="00C95B63" w:rsidTr="00C95B63">
        <w:tc>
          <w:tcPr>
            <w:tcW w:w="14266" w:type="dxa"/>
            <w:tcBorders>
              <w:top w:val="nil"/>
              <w:left w:val="nil"/>
              <w:bottom w:val="nil"/>
              <w:right w:val="nil"/>
            </w:tcBorders>
            <w:shd w:val="clear" w:color="auto" w:fill="auto"/>
            <w:tcMar>
              <w:top w:w="0" w:type="dxa"/>
              <w:left w:w="0" w:type="dxa"/>
              <w:bottom w:w="0" w:type="dxa"/>
              <w:right w:w="0" w:type="dxa"/>
            </w:tcMar>
            <w:vAlign w:val="center"/>
            <w:hideMark/>
          </w:tcPr>
          <w:tbl>
            <w:tblPr>
              <w:tblW w:w="14266" w:type="dxa"/>
              <w:jc w:val="center"/>
              <w:tblInd w:w="0" w:type="dxa"/>
              <w:tblLayout w:type="fixed"/>
              <w:tblCellMar>
                <w:top w:w="150" w:type="dxa"/>
                <w:left w:w="150" w:type="dxa"/>
                <w:bottom w:w="150" w:type="dxa"/>
                <w:right w:w="150" w:type="dxa"/>
              </w:tblCellMar>
              <w:tblLook w:val="04A0"/>
            </w:tblPr>
            <w:tblGrid>
              <w:gridCol w:w="14266"/>
            </w:tblGrid>
            <w:tr w:rsidR="00C95B63" w:rsidRPr="00C95B63">
              <w:trPr>
                <w:jc w:val="center"/>
              </w:trPr>
              <w:tc>
                <w:tcPr>
                  <w:tcW w:w="14266" w:type="dxa"/>
                  <w:tcBorders>
                    <w:top w:val="nil"/>
                    <w:left w:val="nil"/>
                    <w:bottom w:val="nil"/>
                    <w:right w:val="nil"/>
                  </w:tcBorders>
                  <w:shd w:val="clear" w:color="auto" w:fill="auto"/>
                  <w:tcMar>
                    <w:top w:w="0" w:type="dxa"/>
                    <w:left w:w="0" w:type="dxa"/>
                    <w:bottom w:w="0" w:type="dxa"/>
                    <w:right w:w="0" w:type="dxa"/>
                  </w:tcMar>
                  <w:vAlign w:val="center"/>
                  <w:hideMark/>
                </w:tcPr>
                <w:p w:rsidR="00C95B63" w:rsidRPr="00C95B63" w:rsidRDefault="00C95B63" w:rsidP="00C95B63">
                  <w:pPr>
                    <w:widowControl/>
                    <w:spacing w:line="405" w:lineRule="atLeast"/>
                    <w:jc w:val="left"/>
                    <w:rPr>
                      <w:rFonts w:ascii="宋体" w:hAnsi="宋体" w:cs="宋体" w:hint="eastAsia"/>
                      <w:kern w:val="0"/>
                      <w:sz w:val="24"/>
                    </w:rPr>
                  </w:pPr>
                  <w:r w:rsidRPr="00C95B63">
                    <w:rPr>
                      <w:rFonts w:ascii="宋体" w:hAnsi="宋体" w:cs="宋体" w:hint="eastAsia"/>
                      <w:color w:val="000000"/>
                      <w:kern w:val="0"/>
                      <w:szCs w:val="21"/>
                    </w:rPr>
                    <w:t xml:space="preserve">  </w:t>
                  </w:r>
                </w:p>
                <w:p w:rsidR="00C95B63" w:rsidRPr="00C95B63" w:rsidRDefault="00C95B63" w:rsidP="00C95B63">
                  <w:pPr>
                    <w:widowControl/>
                    <w:spacing w:line="405" w:lineRule="atLeast"/>
                    <w:jc w:val="left"/>
                    <w:rPr>
                      <w:rFonts w:ascii="宋体" w:hAnsi="宋体" w:cs="宋体" w:hint="eastAsia"/>
                      <w:kern w:val="0"/>
                      <w:sz w:val="24"/>
                    </w:rPr>
                  </w:pPr>
                  <w:r w:rsidRPr="00C95B63">
                    <w:rPr>
                      <w:rFonts w:ascii="宋体" w:hAnsi="宋体" w:cs="宋体" w:hint="eastAsia"/>
                      <w:color w:val="000000"/>
                      <w:kern w:val="0"/>
                      <w:szCs w:val="21"/>
                    </w:rPr>
                    <w:t xml:space="preserve">    根据建设项目环境影响评价审批程序的有关规定，我局拟对</w:t>
                  </w:r>
                  <w:r w:rsidRPr="00C95B63">
                    <w:rPr>
                      <w:rFonts w:ascii="宋体" w:hAnsi="宋体" w:cs="宋体" w:hint="eastAsia"/>
                      <w:szCs w:val="21"/>
                    </w:rPr>
                    <w:t>《县道X106线（镇西-突泉）及半拉山小桥改建工程环境影响报告表》</w:t>
                  </w:r>
                  <w:r w:rsidRPr="00C95B63">
                    <w:rPr>
                      <w:rFonts w:ascii="宋体" w:hAnsi="宋体" w:cs="宋体" w:hint="eastAsia"/>
                      <w:color w:val="000000"/>
                      <w:kern w:val="0"/>
                      <w:szCs w:val="21"/>
                    </w:rPr>
                    <w:t xml:space="preserve">进行审查。为保证审查工作的严肃性和公正性，现将拟审查的环境影响评价文件基本情况予以公示，公示期为2天。 </w:t>
                  </w:r>
                </w:p>
                <w:p w:rsidR="00C95B63" w:rsidRPr="00C95B63" w:rsidRDefault="00C95B63" w:rsidP="00C95B63">
                  <w:pPr>
                    <w:widowControl/>
                    <w:spacing w:line="405" w:lineRule="atLeast"/>
                    <w:jc w:val="left"/>
                    <w:rPr>
                      <w:rFonts w:ascii="宋体" w:hAnsi="宋体" w:cs="宋体" w:hint="eastAsia"/>
                      <w:kern w:val="0"/>
                      <w:sz w:val="24"/>
                    </w:rPr>
                  </w:pPr>
                  <w:r w:rsidRPr="00C95B63">
                    <w:rPr>
                      <w:rFonts w:ascii="宋体" w:hAnsi="宋体" w:cs="宋体" w:hint="eastAsia"/>
                      <w:color w:val="000000"/>
                      <w:kern w:val="0"/>
                      <w:szCs w:val="21"/>
                    </w:rPr>
                    <w:t xml:space="preserve">  听证权利告知：依据《中华人民共和国行政许可法》，自公示起2天内申请人、利害关系人可提出听证申请。 </w:t>
                  </w:r>
                </w:p>
                <w:p w:rsidR="00C95B63" w:rsidRPr="00C95B63" w:rsidRDefault="00C95B63" w:rsidP="00C95B63">
                  <w:pPr>
                    <w:widowControl/>
                    <w:spacing w:line="405" w:lineRule="atLeast"/>
                    <w:jc w:val="left"/>
                    <w:rPr>
                      <w:rFonts w:ascii="宋体" w:hAnsi="宋体" w:cs="宋体" w:hint="eastAsia"/>
                      <w:kern w:val="0"/>
                      <w:sz w:val="24"/>
                    </w:rPr>
                  </w:pPr>
                  <w:r w:rsidRPr="00C95B63">
                    <w:rPr>
                      <w:rFonts w:ascii="宋体" w:hAnsi="宋体" w:cs="宋体" w:hint="eastAsia"/>
                      <w:color w:val="000000"/>
                      <w:kern w:val="0"/>
                      <w:szCs w:val="21"/>
                    </w:rPr>
                    <w:t xml:space="preserve">  </w:t>
                  </w:r>
                </w:p>
                <w:p w:rsidR="00C95B63" w:rsidRPr="00C95B63" w:rsidRDefault="00C95B63" w:rsidP="00C95B63">
                  <w:pPr>
                    <w:widowControl/>
                    <w:spacing w:line="405" w:lineRule="atLeast"/>
                    <w:jc w:val="left"/>
                    <w:rPr>
                      <w:rFonts w:ascii="宋体" w:hAnsi="宋体" w:cs="宋体" w:hint="eastAsia"/>
                      <w:kern w:val="0"/>
                      <w:sz w:val="24"/>
                    </w:rPr>
                  </w:pPr>
                  <w:r w:rsidRPr="00C95B63">
                    <w:rPr>
                      <w:rFonts w:ascii="宋体" w:hAnsi="宋体" w:cs="宋体" w:hint="eastAsia"/>
                      <w:color w:val="000000"/>
                      <w:kern w:val="0"/>
                      <w:szCs w:val="21"/>
                    </w:rPr>
                    <w:t xml:space="preserve">    联系电话：3208097   3231800 </w:t>
                  </w:r>
                </w:p>
                <w:p w:rsidR="00C95B63" w:rsidRPr="00C95B63" w:rsidRDefault="00C95B63" w:rsidP="00C95B63">
                  <w:pPr>
                    <w:widowControl/>
                    <w:spacing w:line="405" w:lineRule="atLeast"/>
                    <w:jc w:val="left"/>
                    <w:rPr>
                      <w:rFonts w:ascii="宋体" w:hAnsi="宋体" w:cs="宋体" w:hint="eastAsia"/>
                      <w:kern w:val="0"/>
                      <w:sz w:val="24"/>
                    </w:rPr>
                  </w:pPr>
                  <w:r w:rsidRPr="00C95B63">
                    <w:rPr>
                      <w:rFonts w:ascii="宋体" w:hAnsi="宋体" w:cs="宋体" w:hint="eastAsia"/>
                      <w:color w:val="000000"/>
                      <w:kern w:val="0"/>
                      <w:szCs w:val="21"/>
                    </w:rPr>
                    <w:t xml:space="preserve">  通讯地址：白城市青年北大街23-6-9号 </w:t>
                  </w:r>
                </w:p>
                <w:p w:rsidR="00C95B63" w:rsidRPr="00C95B63" w:rsidRDefault="00C95B63" w:rsidP="00C95B63">
                  <w:pPr>
                    <w:widowControl/>
                    <w:spacing w:line="405" w:lineRule="atLeast"/>
                    <w:jc w:val="left"/>
                    <w:rPr>
                      <w:rFonts w:ascii="宋体" w:hAnsi="宋体" w:cs="宋体"/>
                      <w:kern w:val="0"/>
                      <w:sz w:val="24"/>
                    </w:rPr>
                  </w:pPr>
                  <w:r w:rsidRPr="00C95B63">
                    <w:rPr>
                      <w:rFonts w:ascii="宋体" w:hAnsi="宋体" w:cs="宋体" w:hint="eastAsia"/>
                      <w:color w:val="000000"/>
                      <w:kern w:val="0"/>
                      <w:szCs w:val="21"/>
                    </w:rPr>
                    <w:t xml:space="preserve">    </w:t>
                  </w:r>
                  <w:proofErr w:type="gramStart"/>
                  <w:r w:rsidRPr="00C95B63">
                    <w:rPr>
                      <w:rFonts w:ascii="宋体" w:hAnsi="宋体" w:cs="宋体" w:hint="eastAsia"/>
                      <w:color w:val="000000"/>
                      <w:kern w:val="0"/>
                      <w:szCs w:val="21"/>
                    </w:rPr>
                    <w:t>邮</w:t>
                  </w:r>
                  <w:proofErr w:type="gramEnd"/>
                  <w:r w:rsidRPr="00C95B63">
                    <w:rPr>
                      <w:rFonts w:ascii="宋体" w:hAnsi="宋体" w:cs="宋体" w:hint="eastAsia"/>
                      <w:color w:val="000000"/>
                      <w:kern w:val="0"/>
                      <w:szCs w:val="21"/>
                    </w:rPr>
                    <w:t xml:space="preserve">    编：137000 </w:t>
                  </w:r>
                </w:p>
              </w:tc>
            </w:tr>
            <w:tr w:rsidR="00C95B63" w:rsidRPr="00C95B63">
              <w:trPr>
                <w:jc w:val="center"/>
              </w:trPr>
              <w:tc>
                <w:tcPr>
                  <w:tcW w:w="14266" w:type="dxa"/>
                  <w:tcBorders>
                    <w:top w:val="nil"/>
                    <w:left w:val="nil"/>
                    <w:bottom w:val="nil"/>
                    <w:right w:val="nil"/>
                  </w:tcBorders>
                  <w:shd w:val="clear" w:color="auto" w:fill="auto"/>
                  <w:tcMar>
                    <w:top w:w="0" w:type="dxa"/>
                    <w:left w:w="0" w:type="dxa"/>
                    <w:bottom w:w="0" w:type="dxa"/>
                    <w:right w:w="0" w:type="dxa"/>
                  </w:tcMar>
                  <w:vAlign w:val="center"/>
                  <w:hideMark/>
                </w:tcPr>
                <w:tbl>
                  <w:tblPr>
                    <w:tblW w:w="14250" w:type="dxa"/>
                    <w:jc w:val="center"/>
                    <w:tblInd w:w="0" w:type="dxa"/>
                    <w:tblLayout w:type="fixed"/>
                    <w:tblCellMar>
                      <w:left w:w="0" w:type="dxa"/>
                      <w:right w:w="0" w:type="dxa"/>
                    </w:tblCellMar>
                    <w:tblLook w:val="04A0"/>
                  </w:tblPr>
                  <w:tblGrid>
                    <w:gridCol w:w="1016"/>
                    <w:gridCol w:w="954"/>
                    <w:gridCol w:w="923"/>
                    <w:gridCol w:w="1785"/>
                    <w:gridCol w:w="2447"/>
                    <w:gridCol w:w="5663"/>
                    <w:gridCol w:w="1462"/>
                  </w:tblGrid>
                  <w:tr w:rsidR="00C95B63" w:rsidRPr="00C95B63">
                    <w:trPr>
                      <w:trHeight w:val="450"/>
                      <w:jc w:val="center"/>
                    </w:trPr>
                    <w:tc>
                      <w:tcPr>
                        <w:tcW w:w="1016" w:type="dxa"/>
                        <w:tcBorders>
                          <w:top w:val="inset" w:sz="6" w:space="0" w:color="auto"/>
                          <w:left w:val="inset" w:sz="6" w:space="0" w:color="auto"/>
                          <w:bottom w:val="inset" w:sz="6" w:space="0" w:color="auto"/>
                          <w:right w:val="inset" w:sz="6" w:space="0" w:color="auto"/>
                        </w:tcBorders>
                        <w:shd w:val="clear" w:color="auto" w:fill="F8FCFF"/>
                        <w:vAlign w:val="center"/>
                        <w:hideMark/>
                      </w:tcPr>
                      <w:p w:rsidR="00C95B63" w:rsidRPr="00C95B63" w:rsidRDefault="00C95B63" w:rsidP="00C95B63">
                        <w:pPr>
                          <w:widowControl/>
                          <w:jc w:val="center"/>
                          <w:rPr>
                            <w:rFonts w:ascii="宋体" w:hAnsi="宋体" w:cs="宋体"/>
                            <w:kern w:val="0"/>
                            <w:sz w:val="24"/>
                          </w:rPr>
                        </w:pPr>
                        <w:r w:rsidRPr="00C95B63">
                          <w:rPr>
                            <w:rFonts w:ascii="宋体" w:hAnsi="宋体" w:cs="宋体" w:hint="eastAsia"/>
                            <w:b/>
                            <w:bCs/>
                            <w:color w:val="000000"/>
                            <w:kern w:val="0"/>
                          </w:rPr>
                          <w:t>项目名称</w:t>
                        </w:r>
                      </w:p>
                    </w:tc>
                    <w:tc>
                      <w:tcPr>
                        <w:tcW w:w="954" w:type="dxa"/>
                        <w:tcBorders>
                          <w:top w:val="inset" w:sz="6" w:space="0" w:color="auto"/>
                          <w:left w:val="nil"/>
                          <w:bottom w:val="inset" w:sz="6" w:space="0" w:color="auto"/>
                          <w:right w:val="inset" w:sz="6" w:space="0" w:color="auto"/>
                        </w:tcBorders>
                        <w:shd w:val="clear" w:color="auto" w:fill="F8FCFF"/>
                        <w:vAlign w:val="center"/>
                        <w:hideMark/>
                      </w:tcPr>
                      <w:p w:rsidR="00C95B63" w:rsidRPr="00C95B63" w:rsidRDefault="00C95B63" w:rsidP="00C95B63">
                        <w:pPr>
                          <w:widowControl/>
                          <w:jc w:val="center"/>
                          <w:rPr>
                            <w:rFonts w:ascii="宋体" w:hAnsi="宋体" w:cs="宋体"/>
                            <w:kern w:val="0"/>
                            <w:sz w:val="24"/>
                          </w:rPr>
                        </w:pPr>
                        <w:r w:rsidRPr="00C95B63">
                          <w:rPr>
                            <w:rFonts w:ascii="宋体" w:hAnsi="宋体" w:cs="宋体" w:hint="eastAsia"/>
                            <w:b/>
                            <w:bCs/>
                            <w:color w:val="000000"/>
                            <w:kern w:val="0"/>
                          </w:rPr>
                          <w:t>建设地点</w:t>
                        </w:r>
                      </w:p>
                    </w:tc>
                    <w:tc>
                      <w:tcPr>
                        <w:tcW w:w="923" w:type="dxa"/>
                        <w:tcBorders>
                          <w:top w:val="inset" w:sz="6" w:space="0" w:color="auto"/>
                          <w:left w:val="nil"/>
                          <w:bottom w:val="inset" w:sz="6" w:space="0" w:color="auto"/>
                          <w:right w:val="inset" w:sz="6" w:space="0" w:color="auto"/>
                        </w:tcBorders>
                        <w:shd w:val="clear" w:color="auto" w:fill="F8FCFF"/>
                        <w:vAlign w:val="center"/>
                        <w:hideMark/>
                      </w:tcPr>
                      <w:p w:rsidR="00C95B63" w:rsidRPr="00C95B63" w:rsidRDefault="00C95B63" w:rsidP="00C95B63">
                        <w:pPr>
                          <w:widowControl/>
                          <w:jc w:val="center"/>
                          <w:rPr>
                            <w:rFonts w:ascii="宋体" w:hAnsi="宋体" w:cs="宋体"/>
                            <w:kern w:val="0"/>
                            <w:sz w:val="24"/>
                          </w:rPr>
                        </w:pPr>
                        <w:r w:rsidRPr="00C95B63">
                          <w:rPr>
                            <w:rFonts w:ascii="宋体" w:hAnsi="宋体" w:cs="宋体" w:hint="eastAsia"/>
                            <w:b/>
                            <w:bCs/>
                            <w:color w:val="000000"/>
                            <w:kern w:val="0"/>
                          </w:rPr>
                          <w:t>建设单位</w:t>
                        </w:r>
                      </w:p>
                    </w:tc>
                    <w:tc>
                      <w:tcPr>
                        <w:tcW w:w="1785" w:type="dxa"/>
                        <w:tcBorders>
                          <w:top w:val="inset" w:sz="6" w:space="0" w:color="auto"/>
                          <w:left w:val="nil"/>
                          <w:bottom w:val="inset" w:sz="6" w:space="0" w:color="auto"/>
                          <w:right w:val="inset" w:sz="6" w:space="0" w:color="auto"/>
                        </w:tcBorders>
                        <w:shd w:val="clear" w:color="auto" w:fill="F8FCFF"/>
                        <w:vAlign w:val="center"/>
                        <w:hideMark/>
                      </w:tcPr>
                      <w:p w:rsidR="00C95B63" w:rsidRPr="00C95B63" w:rsidRDefault="00C95B63" w:rsidP="00C95B63">
                        <w:pPr>
                          <w:widowControl/>
                          <w:jc w:val="center"/>
                          <w:rPr>
                            <w:rFonts w:ascii="宋体" w:hAnsi="宋体" w:cs="宋体"/>
                            <w:kern w:val="0"/>
                            <w:sz w:val="24"/>
                          </w:rPr>
                        </w:pPr>
                        <w:r w:rsidRPr="00C95B63">
                          <w:rPr>
                            <w:rFonts w:ascii="宋体" w:hAnsi="宋体" w:cs="宋体" w:hint="eastAsia"/>
                            <w:b/>
                            <w:bCs/>
                            <w:color w:val="000000"/>
                            <w:kern w:val="0"/>
                          </w:rPr>
                          <w:t>环境影响评价机构</w:t>
                        </w:r>
                      </w:p>
                    </w:tc>
                    <w:tc>
                      <w:tcPr>
                        <w:tcW w:w="2447" w:type="dxa"/>
                        <w:tcBorders>
                          <w:top w:val="inset" w:sz="6" w:space="0" w:color="auto"/>
                          <w:left w:val="nil"/>
                          <w:bottom w:val="inset" w:sz="6" w:space="0" w:color="auto"/>
                          <w:right w:val="inset" w:sz="6" w:space="0" w:color="auto"/>
                        </w:tcBorders>
                        <w:shd w:val="clear" w:color="auto" w:fill="F8FCFF"/>
                        <w:vAlign w:val="center"/>
                        <w:hideMark/>
                      </w:tcPr>
                      <w:p w:rsidR="00C95B63" w:rsidRPr="00C95B63" w:rsidRDefault="00C95B63" w:rsidP="00C95B63">
                        <w:pPr>
                          <w:widowControl/>
                          <w:jc w:val="center"/>
                          <w:rPr>
                            <w:rFonts w:ascii="宋体" w:hAnsi="宋体" w:cs="宋体"/>
                            <w:kern w:val="0"/>
                            <w:sz w:val="24"/>
                          </w:rPr>
                        </w:pPr>
                        <w:r w:rsidRPr="00C95B63">
                          <w:rPr>
                            <w:rFonts w:ascii="宋体" w:hAnsi="宋体" w:cs="宋体" w:hint="eastAsia"/>
                            <w:b/>
                            <w:bCs/>
                            <w:color w:val="000000"/>
                            <w:kern w:val="0"/>
                          </w:rPr>
                          <w:t>项目概况</w:t>
                        </w:r>
                      </w:p>
                    </w:tc>
                    <w:tc>
                      <w:tcPr>
                        <w:tcW w:w="5663" w:type="dxa"/>
                        <w:tcBorders>
                          <w:top w:val="inset" w:sz="6" w:space="0" w:color="auto"/>
                          <w:left w:val="nil"/>
                          <w:bottom w:val="inset" w:sz="6" w:space="0" w:color="auto"/>
                          <w:right w:val="inset" w:sz="6" w:space="0" w:color="auto"/>
                        </w:tcBorders>
                        <w:shd w:val="clear" w:color="auto" w:fill="F8FCFF"/>
                        <w:vAlign w:val="center"/>
                        <w:hideMark/>
                      </w:tcPr>
                      <w:p w:rsidR="00C95B63" w:rsidRPr="00C95B63" w:rsidRDefault="00C95B63" w:rsidP="00C95B63">
                        <w:pPr>
                          <w:widowControl/>
                          <w:jc w:val="center"/>
                          <w:rPr>
                            <w:rFonts w:ascii="宋体" w:hAnsi="宋体" w:cs="宋体"/>
                            <w:kern w:val="0"/>
                            <w:sz w:val="24"/>
                          </w:rPr>
                        </w:pPr>
                        <w:r w:rsidRPr="00C95B63">
                          <w:rPr>
                            <w:rFonts w:ascii="宋体" w:hAnsi="宋体" w:cs="宋体" w:hint="eastAsia"/>
                            <w:b/>
                            <w:bCs/>
                            <w:color w:val="000000"/>
                            <w:kern w:val="0"/>
                          </w:rPr>
                          <w:t>主要环境影响及预防或者减轻不良影响的对策和措施</w:t>
                        </w:r>
                      </w:p>
                    </w:tc>
                    <w:tc>
                      <w:tcPr>
                        <w:tcW w:w="1462" w:type="dxa"/>
                        <w:tcBorders>
                          <w:top w:val="inset" w:sz="6" w:space="0" w:color="auto"/>
                          <w:left w:val="nil"/>
                          <w:bottom w:val="inset" w:sz="6" w:space="0" w:color="auto"/>
                          <w:right w:val="inset" w:sz="6" w:space="0" w:color="auto"/>
                        </w:tcBorders>
                        <w:shd w:val="clear" w:color="auto" w:fill="F8FCFF"/>
                        <w:vAlign w:val="center"/>
                        <w:hideMark/>
                      </w:tcPr>
                      <w:p w:rsidR="00C95B63" w:rsidRPr="00C95B63" w:rsidRDefault="00C95B63" w:rsidP="00C95B63">
                        <w:pPr>
                          <w:widowControl/>
                          <w:jc w:val="center"/>
                          <w:rPr>
                            <w:rFonts w:ascii="宋体" w:hAnsi="宋体" w:cs="宋体"/>
                            <w:kern w:val="0"/>
                            <w:sz w:val="24"/>
                          </w:rPr>
                        </w:pPr>
                        <w:r w:rsidRPr="00C95B63">
                          <w:rPr>
                            <w:rFonts w:ascii="宋体" w:hAnsi="宋体" w:cs="宋体" w:hint="eastAsia"/>
                            <w:b/>
                            <w:bCs/>
                            <w:color w:val="000000"/>
                            <w:kern w:val="0"/>
                          </w:rPr>
                          <w:t>公众参与情况</w:t>
                        </w:r>
                      </w:p>
                    </w:tc>
                  </w:tr>
                </w:tbl>
                <w:p w:rsidR="00C95B63" w:rsidRPr="00C95B63" w:rsidRDefault="00C95B63" w:rsidP="00C95B63">
                  <w:pPr>
                    <w:widowControl/>
                    <w:jc w:val="center"/>
                    <w:rPr>
                      <w:rFonts w:ascii="宋体" w:hAnsi="宋体" w:cs="宋体" w:hint="eastAsia"/>
                      <w:kern w:val="0"/>
                      <w:sz w:val="24"/>
                    </w:rPr>
                  </w:pPr>
                  <w:r w:rsidRPr="00C95B63">
                    <w:rPr>
                      <w:rFonts w:ascii="宋体" w:hAnsi="宋体" w:cs="宋体" w:hint="eastAsia"/>
                      <w:vanish/>
                      <w:color w:val="000000"/>
                      <w:kern w:val="0"/>
                      <w:szCs w:val="21"/>
                    </w:rPr>
                    <w:t> </w:t>
                  </w:r>
                </w:p>
                <w:tbl>
                  <w:tblPr>
                    <w:tblW w:w="14250" w:type="dxa"/>
                    <w:jc w:val="center"/>
                    <w:tblInd w:w="0" w:type="dxa"/>
                    <w:tblLayout w:type="fixed"/>
                    <w:tblCellMar>
                      <w:left w:w="0" w:type="dxa"/>
                      <w:right w:w="0" w:type="dxa"/>
                    </w:tblCellMar>
                    <w:tblLook w:val="04A0"/>
                  </w:tblPr>
                  <w:tblGrid>
                    <w:gridCol w:w="1015"/>
                    <w:gridCol w:w="954"/>
                    <w:gridCol w:w="939"/>
                    <w:gridCol w:w="1776"/>
                    <w:gridCol w:w="2441"/>
                    <w:gridCol w:w="5663"/>
                    <w:gridCol w:w="1462"/>
                  </w:tblGrid>
                  <w:tr w:rsidR="00C95B63" w:rsidRPr="00C95B63">
                    <w:trPr>
                      <w:jc w:val="center"/>
                    </w:trPr>
                    <w:tc>
                      <w:tcPr>
                        <w:tcW w:w="1015" w:type="dxa"/>
                        <w:tcBorders>
                          <w:top w:val="inset" w:sz="6" w:space="0" w:color="auto"/>
                          <w:left w:val="inset" w:sz="6" w:space="0" w:color="auto"/>
                          <w:bottom w:val="inset" w:sz="6" w:space="0" w:color="auto"/>
                          <w:right w:val="inset" w:sz="6" w:space="0" w:color="auto"/>
                        </w:tcBorders>
                        <w:shd w:val="clear" w:color="auto" w:fill="auto"/>
                        <w:vAlign w:val="center"/>
                        <w:hideMark/>
                      </w:tcPr>
                      <w:p w:rsidR="00C95B63" w:rsidRPr="00C95B63" w:rsidRDefault="00C95B63" w:rsidP="00C95B63">
                        <w:pPr>
                          <w:widowControl/>
                          <w:jc w:val="left"/>
                          <w:rPr>
                            <w:rFonts w:ascii="宋体" w:hAnsi="宋体" w:cs="宋体"/>
                            <w:kern w:val="0"/>
                            <w:sz w:val="24"/>
                          </w:rPr>
                        </w:pPr>
                        <w:r w:rsidRPr="00C95B63">
                          <w:rPr>
                            <w:rFonts w:ascii="宋体" w:hAnsi="宋体" w:cs="宋体" w:hint="eastAsia"/>
                            <w:szCs w:val="21"/>
                          </w:rPr>
                          <w:t>县道X106线（镇西-突泉）及</w:t>
                        </w:r>
                        <w:proofErr w:type="gramStart"/>
                        <w:r w:rsidRPr="00C95B63">
                          <w:rPr>
                            <w:rFonts w:ascii="宋体" w:hAnsi="宋体" w:cs="宋体" w:hint="eastAsia"/>
                            <w:szCs w:val="21"/>
                          </w:rPr>
                          <w:t>半拉山</w:t>
                        </w:r>
                        <w:proofErr w:type="gramEnd"/>
                        <w:r w:rsidRPr="00C95B63">
                          <w:rPr>
                            <w:rFonts w:ascii="宋体" w:hAnsi="宋体" w:cs="宋体" w:hint="eastAsia"/>
                            <w:szCs w:val="21"/>
                          </w:rPr>
                          <w:t>小桥改建工程</w:t>
                        </w:r>
                      </w:p>
                    </w:tc>
                    <w:tc>
                      <w:tcPr>
                        <w:tcW w:w="954" w:type="dxa"/>
                        <w:tcBorders>
                          <w:top w:val="inset" w:sz="6" w:space="0" w:color="auto"/>
                          <w:left w:val="nil"/>
                          <w:bottom w:val="inset" w:sz="6" w:space="0" w:color="auto"/>
                          <w:right w:val="inset" w:sz="6" w:space="0" w:color="auto"/>
                        </w:tcBorders>
                        <w:shd w:val="clear" w:color="auto" w:fill="auto"/>
                        <w:vAlign w:val="center"/>
                        <w:hideMark/>
                      </w:tcPr>
                      <w:p w:rsidR="00C95B63" w:rsidRPr="00C95B63" w:rsidRDefault="00C95B63" w:rsidP="00C95B63">
                        <w:pPr>
                          <w:widowControl/>
                          <w:jc w:val="left"/>
                          <w:rPr>
                            <w:rFonts w:ascii="宋体" w:hAnsi="宋体" w:cs="宋体"/>
                            <w:kern w:val="0"/>
                            <w:sz w:val="24"/>
                          </w:rPr>
                        </w:pPr>
                        <w:r w:rsidRPr="00C95B63">
                          <w:rPr>
                            <w:rFonts w:ascii="宋体" w:hAnsi="宋体" w:cs="宋体" w:hint="eastAsia"/>
                            <w:szCs w:val="21"/>
                          </w:rPr>
                          <w:t>白城市</w:t>
                        </w:r>
                        <w:proofErr w:type="gramStart"/>
                        <w:r w:rsidRPr="00C95B63">
                          <w:rPr>
                            <w:rFonts w:ascii="宋体" w:hAnsi="宋体" w:cs="宋体" w:hint="eastAsia"/>
                            <w:szCs w:val="21"/>
                          </w:rPr>
                          <w:t>洮</w:t>
                        </w:r>
                        <w:proofErr w:type="gramEnd"/>
                        <w:r w:rsidRPr="00C95B63">
                          <w:rPr>
                            <w:rFonts w:ascii="宋体" w:hAnsi="宋体" w:cs="宋体" w:hint="eastAsia"/>
                            <w:szCs w:val="21"/>
                          </w:rPr>
                          <w:t>北区岭下镇X106中部分路段</w:t>
                        </w:r>
                      </w:p>
                    </w:tc>
                    <w:tc>
                      <w:tcPr>
                        <w:tcW w:w="939" w:type="dxa"/>
                        <w:tcBorders>
                          <w:top w:val="inset" w:sz="6" w:space="0" w:color="auto"/>
                          <w:left w:val="nil"/>
                          <w:bottom w:val="inset" w:sz="6" w:space="0" w:color="auto"/>
                          <w:right w:val="inset" w:sz="6" w:space="0" w:color="auto"/>
                        </w:tcBorders>
                        <w:shd w:val="clear" w:color="auto" w:fill="auto"/>
                        <w:vAlign w:val="center"/>
                        <w:hideMark/>
                      </w:tcPr>
                      <w:p w:rsidR="00C95B63" w:rsidRPr="00C95B63" w:rsidRDefault="00C95B63" w:rsidP="00C95B63">
                        <w:pPr>
                          <w:widowControl/>
                          <w:jc w:val="left"/>
                          <w:rPr>
                            <w:rFonts w:ascii="宋体" w:hAnsi="宋体" w:cs="宋体"/>
                            <w:kern w:val="0"/>
                            <w:sz w:val="24"/>
                          </w:rPr>
                        </w:pPr>
                        <w:r w:rsidRPr="00C95B63">
                          <w:rPr>
                            <w:rFonts w:ascii="宋体" w:hAnsi="宋体" w:cs="宋体" w:hint="eastAsia"/>
                            <w:szCs w:val="21"/>
                          </w:rPr>
                          <w:t>白城市</w:t>
                        </w:r>
                        <w:proofErr w:type="gramStart"/>
                        <w:r w:rsidRPr="00C95B63">
                          <w:rPr>
                            <w:rFonts w:ascii="宋体" w:hAnsi="宋体" w:cs="宋体" w:hint="eastAsia"/>
                            <w:szCs w:val="21"/>
                          </w:rPr>
                          <w:t>洮</w:t>
                        </w:r>
                        <w:proofErr w:type="gramEnd"/>
                        <w:r w:rsidRPr="00C95B63">
                          <w:rPr>
                            <w:rFonts w:ascii="宋体" w:hAnsi="宋体" w:cs="宋体" w:hint="eastAsia"/>
                            <w:szCs w:val="21"/>
                          </w:rPr>
                          <w:t>北区公路建设办公室</w:t>
                        </w:r>
                      </w:p>
                    </w:tc>
                    <w:tc>
                      <w:tcPr>
                        <w:tcW w:w="1776" w:type="dxa"/>
                        <w:tcBorders>
                          <w:top w:val="inset" w:sz="6" w:space="0" w:color="auto"/>
                          <w:left w:val="nil"/>
                          <w:bottom w:val="inset" w:sz="6" w:space="0" w:color="auto"/>
                          <w:right w:val="inset" w:sz="6" w:space="0" w:color="auto"/>
                        </w:tcBorders>
                        <w:shd w:val="clear" w:color="auto" w:fill="auto"/>
                        <w:vAlign w:val="center"/>
                        <w:hideMark/>
                      </w:tcPr>
                      <w:p w:rsidR="00C95B63" w:rsidRPr="00C95B63" w:rsidRDefault="00C95B63" w:rsidP="00C95B63">
                        <w:pPr>
                          <w:widowControl/>
                          <w:jc w:val="left"/>
                          <w:rPr>
                            <w:rFonts w:ascii="宋体" w:hAnsi="宋体" w:cs="宋体"/>
                            <w:kern w:val="0"/>
                            <w:sz w:val="24"/>
                          </w:rPr>
                        </w:pPr>
                        <w:r w:rsidRPr="00C95B63">
                          <w:rPr>
                            <w:rFonts w:ascii="宋体" w:hAnsi="宋体" w:cs="宋体" w:hint="eastAsia"/>
                            <w:szCs w:val="21"/>
                          </w:rPr>
                          <w:t>吉林昊融技术开发有限公司</w:t>
                        </w:r>
                      </w:p>
                    </w:tc>
                    <w:tc>
                      <w:tcPr>
                        <w:tcW w:w="2441" w:type="dxa"/>
                        <w:tcBorders>
                          <w:top w:val="inset" w:sz="6" w:space="0" w:color="auto"/>
                          <w:left w:val="nil"/>
                          <w:bottom w:val="inset" w:sz="6" w:space="0" w:color="auto"/>
                          <w:right w:val="inset" w:sz="6" w:space="0" w:color="auto"/>
                        </w:tcBorders>
                        <w:shd w:val="clear" w:color="auto" w:fill="auto"/>
                        <w:vAlign w:val="center"/>
                        <w:hideMark/>
                      </w:tcPr>
                      <w:p w:rsidR="00C95B63" w:rsidRPr="00C95B63" w:rsidRDefault="00C95B63" w:rsidP="00C95B63">
                        <w:pPr>
                          <w:widowControl/>
                          <w:jc w:val="left"/>
                          <w:rPr>
                            <w:rFonts w:ascii="宋体" w:hAnsi="宋体" w:cs="宋体"/>
                            <w:kern w:val="0"/>
                            <w:sz w:val="24"/>
                          </w:rPr>
                        </w:pPr>
                        <w:r w:rsidRPr="00C95B63">
                          <w:rPr>
                            <w:rFonts w:ascii="宋体" w:hAnsi="宋体" w:cs="宋体" w:hint="eastAsia"/>
                            <w:szCs w:val="21"/>
                          </w:rPr>
                          <w:t>本项目拟改建地址位于白城市</w:t>
                        </w:r>
                        <w:proofErr w:type="gramStart"/>
                        <w:r w:rsidRPr="00C95B63">
                          <w:rPr>
                            <w:rFonts w:ascii="宋体" w:hAnsi="宋体" w:cs="宋体" w:hint="eastAsia"/>
                            <w:szCs w:val="21"/>
                          </w:rPr>
                          <w:t>洮</w:t>
                        </w:r>
                        <w:proofErr w:type="gramEnd"/>
                        <w:r w:rsidRPr="00C95B63">
                          <w:rPr>
                            <w:rFonts w:ascii="宋体" w:hAnsi="宋体" w:cs="宋体" w:hint="eastAsia"/>
                            <w:szCs w:val="21"/>
                          </w:rPr>
                          <w:t>北区岭下镇X106中部分路段，拟建设地点四周为农田，路线中的公铁立交桥不包括在本项目工程范围内。项目总投资为4478.8539万元，环保投资25万元。本项目为修复改</w:t>
                        </w:r>
                        <w:r w:rsidRPr="00C95B63">
                          <w:rPr>
                            <w:rFonts w:ascii="宋体" w:hAnsi="宋体" w:cs="宋体" w:hint="eastAsia"/>
                            <w:szCs w:val="21"/>
                          </w:rPr>
                          <w:lastRenderedPageBreak/>
                          <w:t>建工程，在充分利用原有旧路的基础上对原有危桥进行拆除重建，因此无新增永久占地，现有永久占地面积为18400m2。工程组成主要包括道路、桥梁及引道工程。其主要分两部分，一部分位于G302至中铁立交桥，主要工程为道路工程，工程长度为1240m，道路宽为9m；一部分位于中铁立交桥至X106跨</w:t>
                        </w:r>
                        <w:proofErr w:type="gramStart"/>
                        <w:r w:rsidRPr="00C95B63">
                          <w:rPr>
                            <w:rFonts w:ascii="宋体" w:hAnsi="宋体" w:cs="宋体" w:hint="eastAsia"/>
                            <w:szCs w:val="21"/>
                          </w:rPr>
                          <w:t>洮</w:t>
                        </w:r>
                        <w:proofErr w:type="gramEnd"/>
                        <w:r w:rsidRPr="00C95B63">
                          <w:rPr>
                            <w:rFonts w:ascii="宋体" w:hAnsi="宋体" w:cs="宋体" w:hint="eastAsia"/>
                            <w:szCs w:val="21"/>
                          </w:rPr>
                          <w:t>儿河大桥，主要为桥梁及引道工程。该桥梁名为</w:t>
                        </w:r>
                        <w:proofErr w:type="gramStart"/>
                        <w:r w:rsidRPr="00C95B63">
                          <w:rPr>
                            <w:rFonts w:ascii="宋体" w:hAnsi="宋体" w:cs="宋体" w:hint="eastAsia"/>
                            <w:szCs w:val="21"/>
                          </w:rPr>
                          <w:t>半拉山</w:t>
                        </w:r>
                        <w:proofErr w:type="gramEnd"/>
                        <w:r w:rsidRPr="00C95B63">
                          <w:rPr>
                            <w:rFonts w:ascii="宋体" w:hAnsi="宋体" w:cs="宋体" w:hint="eastAsia"/>
                            <w:szCs w:val="21"/>
                          </w:rPr>
                          <w:t>小桥，其桥梁规模为中型，长度为60m，桥宽为12m；引道工程长度为502m，宽度为9-12m。本项目位于白城市</w:t>
                        </w:r>
                        <w:proofErr w:type="gramStart"/>
                        <w:r w:rsidRPr="00C95B63">
                          <w:rPr>
                            <w:rFonts w:ascii="宋体" w:hAnsi="宋体" w:cs="宋体" w:hint="eastAsia"/>
                            <w:szCs w:val="21"/>
                          </w:rPr>
                          <w:t>洮</w:t>
                        </w:r>
                        <w:proofErr w:type="gramEnd"/>
                        <w:r w:rsidRPr="00C95B63">
                          <w:rPr>
                            <w:rFonts w:ascii="宋体" w:hAnsi="宋体" w:cs="宋体" w:hint="eastAsia"/>
                            <w:szCs w:val="21"/>
                          </w:rPr>
                          <w:t>北区境内，路线起点位于G302与X106交汇处，终点止于X106道跨</w:t>
                        </w:r>
                        <w:proofErr w:type="gramStart"/>
                        <w:r w:rsidRPr="00C95B63">
                          <w:rPr>
                            <w:rFonts w:ascii="宋体" w:hAnsi="宋体" w:cs="宋体" w:hint="eastAsia"/>
                            <w:szCs w:val="21"/>
                          </w:rPr>
                          <w:t>洮</w:t>
                        </w:r>
                        <w:proofErr w:type="gramEnd"/>
                        <w:r w:rsidRPr="00C95B63">
                          <w:rPr>
                            <w:rFonts w:ascii="宋体" w:hAnsi="宋体" w:cs="宋体" w:hint="eastAsia"/>
                            <w:szCs w:val="21"/>
                          </w:rPr>
                          <w:t>儿河桥（大桥）。</w:t>
                        </w:r>
                      </w:p>
                      <w:p w:rsidR="00C95B63" w:rsidRPr="00C95B63" w:rsidRDefault="00C95B63" w:rsidP="00C95B63">
                        <w:pPr>
                          <w:widowControl/>
                          <w:jc w:val="left"/>
                          <w:rPr>
                            <w:rFonts w:ascii="宋体" w:hAnsi="宋体" w:cs="宋体" w:hint="eastAsia"/>
                            <w:kern w:val="0"/>
                            <w:sz w:val="24"/>
                          </w:rPr>
                        </w:pPr>
                        <w:r w:rsidRPr="00C95B63">
                          <w:rPr>
                            <w:rFonts w:ascii="宋体" w:hAnsi="宋体" w:cs="宋体" w:hint="eastAsia"/>
                            <w:szCs w:val="21"/>
                          </w:rPr>
                          <w:t> </w:t>
                        </w:r>
                      </w:p>
                      <w:p w:rsidR="00C95B63" w:rsidRPr="00C95B63" w:rsidRDefault="00C95B63" w:rsidP="00C95B63">
                        <w:pPr>
                          <w:widowControl/>
                          <w:jc w:val="left"/>
                          <w:rPr>
                            <w:rFonts w:ascii="宋体" w:hAnsi="宋体" w:cs="宋体"/>
                            <w:kern w:val="0"/>
                            <w:sz w:val="24"/>
                          </w:rPr>
                        </w:pPr>
                        <w:r w:rsidRPr="00C95B63">
                          <w:rPr>
                            <w:rFonts w:ascii="宋体" w:hAnsi="宋体" w:cs="宋体" w:hint="eastAsia"/>
                            <w:szCs w:val="21"/>
                          </w:rPr>
                          <w:t> </w:t>
                        </w:r>
                      </w:p>
                    </w:tc>
                    <w:tc>
                      <w:tcPr>
                        <w:tcW w:w="5663" w:type="dxa"/>
                        <w:tcBorders>
                          <w:top w:val="inset" w:sz="6" w:space="0" w:color="auto"/>
                          <w:left w:val="nil"/>
                          <w:bottom w:val="inset" w:sz="6" w:space="0" w:color="auto"/>
                          <w:right w:val="inset" w:sz="6" w:space="0" w:color="auto"/>
                        </w:tcBorders>
                        <w:shd w:val="clear" w:color="auto" w:fill="auto"/>
                        <w:vAlign w:val="center"/>
                        <w:hideMark/>
                      </w:tcPr>
                      <w:p w:rsidR="00C95B63" w:rsidRPr="00C95B63" w:rsidRDefault="00C95B63" w:rsidP="00C95B63">
                        <w:pPr>
                          <w:widowControl/>
                          <w:jc w:val="left"/>
                          <w:rPr>
                            <w:rFonts w:ascii="宋体" w:hAnsi="宋体" w:cs="宋体"/>
                            <w:kern w:val="0"/>
                            <w:sz w:val="24"/>
                          </w:rPr>
                        </w:pPr>
                        <w:r w:rsidRPr="00C95B63">
                          <w:rPr>
                            <w:rFonts w:ascii="宋体" w:hAnsi="宋体" w:cs="宋体" w:hint="eastAsia"/>
                            <w:szCs w:val="21"/>
                          </w:rPr>
                          <w:lastRenderedPageBreak/>
                          <w:t>（一）加强施工期和营运期水环境管理。</w:t>
                        </w:r>
                      </w:p>
                      <w:p w:rsidR="00C95B63" w:rsidRPr="00C95B63" w:rsidRDefault="00C95B63" w:rsidP="00C95B63">
                        <w:pPr>
                          <w:widowControl/>
                          <w:jc w:val="left"/>
                          <w:rPr>
                            <w:rFonts w:ascii="宋体" w:hAnsi="宋体" w:cs="宋体" w:hint="eastAsia"/>
                            <w:kern w:val="0"/>
                            <w:sz w:val="24"/>
                          </w:rPr>
                        </w:pPr>
                        <w:r w:rsidRPr="00C95B63">
                          <w:rPr>
                            <w:rFonts w:ascii="宋体" w:hAnsi="宋体" w:cs="宋体" w:hint="eastAsia"/>
                            <w:szCs w:val="21"/>
                          </w:rPr>
                          <w:t>1.施工期采取的措施：</w:t>
                        </w:r>
                      </w:p>
                      <w:p w:rsidR="00C95B63" w:rsidRPr="00C95B63" w:rsidRDefault="00C95B63" w:rsidP="00C95B63">
                        <w:pPr>
                          <w:widowControl/>
                          <w:jc w:val="left"/>
                          <w:rPr>
                            <w:rFonts w:ascii="宋体" w:hAnsi="宋体" w:cs="宋体" w:hint="eastAsia"/>
                            <w:kern w:val="0"/>
                            <w:sz w:val="24"/>
                          </w:rPr>
                        </w:pPr>
                        <w:r w:rsidRPr="00C95B63">
                          <w:rPr>
                            <w:rFonts w:ascii="宋体" w:hAnsi="宋体" w:cs="宋体" w:hint="eastAsia"/>
                            <w:szCs w:val="21"/>
                          </w:rPr>
                          <w:t>（1）本工程施工期选为河床干枯期，减小桥梁施工对水体的扰动影响。施工废水采用沉淀池进行澄清处理，上清液用于淋</w:t>
                        </w:r>
                        <w:proofErr w:type="gramStart"/>
                        <w:r w:rsidRPr="00C95B63">
                          <w:rPr>
                            <w:rFonts w:ascii="宋体" w:hAnsi="宋体" w:cs="宋体" w:hint="eastAsia"/>
                            <w:szCs w:val="21"/>
                          </w:rPr>
                          <w:t>洒现场</w:t>
                        </w:r>
                        <w:proofErr w:type="gramEnd"/>
                        <w:r w:rsidRPr="00C95B63">
                          <w:rPr>
                            <w:rFonts w:ascii="宋体" w:hAnsi="宋体" w:cs="宋体" w:hint="eastAsia"/>
                            <w:szCs w:val="21"/>
                          </w:rPr>
                          <w:t>道路，减少扬尘对环境的影响；</w:t>
                        </w:r>
                      </w:p>
                      <w:p w:rsidR="00C95B63" w:rsidRPr="00C95B63" w:rsidRDefault="00C95B63" w:rsidP="00C95B63">
                        <w:pPr>
                          <w:widowControl/>
                          <w:jc w:val="left"/>
                          <w:rPr>
                            <w:rFonts w:ascii="宋体" w:hAnsi="宋体" w:cs="宋体" w:hint="eastAsia"/>
                            <w:kern w:val="0"/>
                            <w:sz w:val="24"/>
                          </w:rPr>
                        </w:pPr>
                        <w:r w:rsidRPr="00C95B63">
                          <w:rPr>
                            <w:rFonts w:ascii="宋体" w:hAnsi="宋体" w:cs="宋体" w:hint="eastAsia"/>
                            <w:szCs w:val="21"/>
                          </w:rPr>
                          <w:t>（2）选用先进的设备、机械，加强施工机械的检修，严格施工管理，以有效减少跑、冒、滴、漏的数量，从而减少含油污水对地表水体的影响；</w:t>
                        </w:r>
                      </w:p>
                      <w:p w:rsidR="00C95B63" w:rsidRPr="00C95B63" w:rsidRDefault="00C95B63" w:rsidP="00C95B63">
                        <w:pPr>
                          <w:widowControl/>
                          <w:jc w:val="left"/>
                          <w:rPr>
                            <w:rFonts w:ascii="宋体" w:hAnsi="宋体" w:cs="宋体" w:hint="eastAsia"/>
                            <w:kern w:val="0"/>
                            <w:sz w:val="24"/>
                          </w:rPr>
                        </w:pPr>
                        <w:r w:rsidRPr="00C95B63">
                          <w:rPr>
                            <w:rFonts w:ascii="宋体" w:hAnsi="宋体" w:cs="宋体" w:hint="eastAsia"/>
                            <w:szCs w:val="21"/>
                          </w:rPr>
                          <w:lastRenderedPageBreak/>
                          <w:t>（3）生活污水应排入临时防渗旱厕，定期清掏用作农肥。</w:t>
                        </w:r>
                      </w:p>
                      <w:p w:rsidR="00C95B63" w:rsidRPr="00C95B63" w:rsidRDefault="00C95B63" w:rsidP="00C95B63">
                        <w:pPr>
                          <w:widowControl/>
                          <w:jc w:val="left"/>
                          <w:rPr>
                            <w:rFonts w:ascii="宋体" w:hAnsi="宋体" w:cs="宋体" w:hint="eastAsia"/>
                            <w:kern w:val="0"/>
                            <w:sz w:val="24"/>
                          </w:rPr>
                        </w:pPr>
                        <w:r w:rsidRPr="00C95B63">
                          <w:rPr>
                            <w:rFonts w:ascii="宋体" w:hAnsi="宋体" w:cs="宋体" w:hint="eastAsia"/>
                            <w:szCs w:val="21"/>
                          </w:rPr>
                          <w:t>2.营运期采取的措施：加强管理，严禁各种泄漏、散装超载的车辆上路运行，防止道路散失货物造成沿线水体污染。应定期清理排水系统，使排水系统保持疏通。</w:t>
                        </w:r>
                      </w:p>
                      <w:p w:rsidR="00C95B63" w:rsidRPr="00C95B63" w:rsidRDefault="00C95B63" w:rsidP="00C95B63">
                        <w:pPr>
                          <w:widowControl/>
                          <w:jc w:val="left"/>
                          <w:rPr>
                            <w:rFonts w:ascii="宋体" w:hAnsi="宋体" w:cs="宋体" w:hint="eastAsia"/>
                            <w:kern w:val="0"/>
                            <w:sz w:val="24"/>
                          </w:rPr>
                        </w:pPr>
                        <w:r w:rsidRPr="00C95B63">
                          <w:rPr>
                            <w:rFonts w:ascii="宋体" w:hAnsi="宋体" w:cs="宋体" w:hint="eastAsia"/>
                            <w:szCs w:val="21"/>
                          </w:rPr>
                          <w:t>（三）加强施工期和营运期空气环境管理。</w:t>
                        </w:r>
                      </w:p>
                      <w:p w:rsidR="00C95B63" w:rsidRPr="00C95B63" w:rsidRDefault="00C95B63" w:rsidP="00C95B63">
                        <w:pPr>
                          <w:widowControl/>
                          <w:jc w:val="left"/>
                          <w:rPr>
                            <w:rFonts w:ascii="宋体" w:hAnsi="宋体" w:cs="宋体" w:hint="eastAsia"/>
                            <w:kern w:val="0"/>
                            <w:sz w:val="24"/>
                          </w:rPr>
                        </w:pPr>
                        <w:r w:rsidRPr="00C95B63">
                          <w:rPr>
                            <w:rFonts w:ascii="宋体" w:hAnsi="宋体" w:cs="宋体" w:hint="eastAsia"/>
                            <w:szCs w:val="21"/>
                          </w:rPr>
                          <w:t>1.施工期采取的措施：</w:t>
                        </w:r>
                      </w:p>
                      <w:p w:rsidR="00C95B63" w:rsidRPr="00C95B63" w:rsidRDefault="00C95B63" w:rsidP="00C95B63">
                        <w:pPr>
                          <w:widowControl/>
                          <w:jc w:val="left"/>
                          <w:rPr>
                            <w:rFonts w:ascii="宋体" w:hAnsi="宋体" w:cs="宋体" w:hint="eastAsia"/>
                            <w:kern w:val="0"/>
                            <w:sz w:val="24"/>
                          </w:rPr>
                        </w:pPr>
                        <w:r w:rsidRPr="00C95B63">
                          <w:rPr>
                            <w:rFonts w:ascii="宋体" w:hAnsi="宋体" w:cs="宋体" w:hint="eastAsia"/>
                            <w:szCs w:val="21"/>
                          </w:rPr>
                          <w:t>（1）工程施工现场应全封闭设置围挡，严禁敞开式作业，施工现场道路应进行地面硬化，各种堆料应封闭储存或建设</w:t>
                        </w:r>
                        <w:proofErr w:type="gramStart"/>
                        <w:r w:rsidRPr="00C95B63">
                          <w:rPr>
                            <w:rFonts w:ascii="宋体" w:hAnsi="宋体" w:cs="宋体" w:hint="eastAsia"/>
                            <w:szCs w:val="21"/>
                          </w:rPr>
                          <w:t>防风抑尘设施</w:t>
                        </w:r>
                        <w:proofErr w:type="gramEnd"/>
                        <w:r w:rsidRPr="00C95B63">
                          <w:rPr>
                            <w:rFonts w:ascii="宋体" w:hAnsi="宋体" w:cs="宋体" w:hint="eastAsia"/>
                            <w:szCs w:val="21"/>
                          </w:rPr>
                          <w:t>。建筑垃圾运输车辆要全部采取密闭措施，严查建筑垃圾车沿途洒落，在建筑工地集中区域设置运输指定通道，规定时间路线进行运输作业。</w:t>
                        </w:r>
                      </w:p>
                      <w:p w:rsidR="00C95B63" w:rsidRPr="00C95B63" w:rsidRDefault="00C95B63" w:rsidP="00C95B63">
                        <w:pPr>
                          <w:widowControl/>
                          <w:jc w:val="left"/>
                          <w:rPr>
                            <w:rFonts w:ascii="宋体" w:hAnsi="宋体" w:cs="宋体" w:hint="eastAsia"/>
                            <w:kern w:val="0"/>
                            <w:sz w:val="24"/>
                          </w:rPr>
                        </w:pPr>
                        <w:r w:rsidRPr="00C95B63">
                          <w:rPr>
                            <w:rFonts w:ascii="宋体" w:hAnsi="宋体" w:cs="宋体" w:hint="eastAsia"/>
                            <w:szCs w:val="21"/>
                          </w:rPr>
                          <w:t>（2）在原桥拆除、桥面施工、路面清除、材料运输等过程中，采取洒水、遮盖及风天停止施工等防尘措施，以减少由于汽车行驶和风</w:t>
                        </w:r>
                        <w:proofErr w:type="gramStart"/>
                        <w:r w:rsidRPr="00C95B63">
                          <w:rPr>
                            <w:rFonts w:ascii="宋体" w:hAnsi="宋体" w:cs="宋体" w:hint="eastAsia"/>
                            <w:szCs w:val="21"/>
                          </w:rPr>
                          <w:t>吹引起</w:t>
                        </w:r>
                        <w:proofErr w:type="gramEnd"/>
                        <w:r w:rsidRPr="00C95B63">
                          <w:rPr>
                            <w:rFonts w:ascii="宋体" w:hAnsi="宋体" w:cs="宋体" w:hint="eastAsia"/>
                            <w:szCs w:val="21"/>
                          </w:rPr>
                          <w:t>的扬尘。</w:t>
                        </w:r>
                      </w:p>
                      <w:p w:rsidR="00C95B63" w:rsidRPr="00C95B63" w:rsidRDefault="00C95B63" w:rsidP="00C95B63">
                        <w:pPr>
                          <w:widowControl/>
                          <w:jc w:val="left"/>
                          <w:rPr>
                            <w:rFonts w:ascii="宋体" w:hAnsi="宋体" w:cs="宋体" w:hint="eastAsia"/>
                            <w:kern w:val="0"/>
                            <w:sz w:val="24"/>
                          </w:rPr>
                        </w:pPr>
                        <w:r w:rsidRPr="00C95B63">
                          <w:rPr>
                            <w:rFonts w:ascii="宋体" w:hAnsi="宋体" w:cs="宋体" w:hint="eastAsia"/>
                            <w:szCs w:val="21"/>
                          </w:rPr>
                          <w:t>（3）运输车辆和施工机械应保持良好的运行状态，并选用优质的燃油，以有效地减少尾气污染物排放量。</w:t>
                        </w:r>
                      </w:p>
                      <w:p w:rsidR="00C95B63" w:rsidRPr="00C95B63" w:rsidRDefault="00C95B63" w:rsidP="00C95B63">
                        <w:pPr>
                          <w:widowControl/>
                          <w:jc w:val="left"/>
                          <w:rPr>
                            <w:rFonts w:ascii="宋体" w:hAnsi="宋体" w:cs="宋体" w:hint="eastAsia"/>
                            <w:kern w:val="0"/>
                            <w:sz w:val="24"/>
                          </w:rPr>
                        </w:pPr>
                        <w:r w:rsidRPr="00C95B63">
                          <w:rPr>
                            <w:rFonts w:ascii="宋体" w:hAnsi="宋体" w:cs="宋体" w:hint="eastAsia"/>
                            <w:szCs w:val="21"/>
                          </w:rPr>
                          <w:t>2.运营期采取的措施：加强道路和桥梁日常养护，加强区域绿化。加强车辆管理，禁止尾气超标车辆上路。</w:t>
                        </w:r>
                      </w:p>
                      <w:p w:rsidR="00C95B63" w:rsidRPr="00C95B63" w:rsidRDefault="00C95B63" w:rsidP="00C95B63">
                        <w:pPr>
                          <w:widowControl/>
                          <w:jc w:val="left"/>
                          <w:rPr>
                            <w:rFonts w:ascii="宋体" w:hAnsi="宋体" w:cs="宋体" w:hint="eastAsia"/>
                            <w:kern w:val="0"/>
                            <w:sz w:val="24"/>
                          </w:rPr>
                        </w:pPr>
                        <w:r w:rsidRPr="00C95B63">
                          <w:rPr>
                            <w:rFonts w:ascii="宋体" w:hAnsi="宋体" w:cs="宋体" w:hint="eastAsia"/>
                            <w:szCs w:val="21"/>
                          </w:rPr>
                          <w:t>（四）加强施工期和营运期噪声环境管理。</w:t>
                        </w:r>
                      </w:p>
                      <w:p w:rsidR="00C95B63" w:rsidRPr="00C95B63" w:rsidRDefault="00C95B63" w:rsidP="00C95B63">
                        <w:pPr>
                          <w:widowControl/>
                          <w:jc w:val="left"/>
                          <w:rPr>
                            <w:rFonts w:ascii="宋体" w:hAnsi="宋体" w:cs="宋体" w:hint="eastAsia"/>
                            <w:kern w:val="0"/>
                            <w:sz w:val="24"/>
                          </w:rPr>
                        </w:pPr>
                        <w:r w:rsidRPr="00C95B63">
                          <w:rPr>
                            <w:rFonts w:ascii="宋体" w:hAnsi="宋体" w:cs="宋体" w:hint="eastAsia"/>
                            <w:szCs w:val="21"/>
                          </w:rPr>
                          <w:t>1.施工期采取的措施。合理安排施工时间，充分做好施工前准备工作，应禁止强噪声施工机械在夜间（22：00-6：00）进行施工操作；施工设备尽量采用低噪声施工机械，并定期保养、维护，合理的选择施工方法、施工场界，以减少对周边环境的影响程度。</w:t>
                        </w:r>
                      </w:p>
                      <w:p w:rsidR="00C95B63" w:rsidRPr="00C95B63" w:rsidRDefault="00C95B63" w:rsidP="00C95B63">
                        <w:pPr>
                          <w:widowControl/>
                          <w:jc w:val="left"/>
                          <w:rPr>
                            <w:rFonts w:ascii="宋体" w:hAnsi="宋体" w:cs="宋体" w:hint="eastAsia"/>
                            <w:kern w:val="0"/>
                            <w:sz w:val="24"/>
                          </w:rPr>
                        </w:pPr>
                        <w:r w:rsidRPr="00C95B63">
                          <w:rPr>
                            <w:rFonts w:ascii="宋体" w:hAnsi="宋体" w:cs="宋体" w:hint="eastAsia"/>
                            <w:szCs w:val="21"/>
                          </w:rPr>
                          <w:t>2.营运期采取的措施。加强行车管理，在路段、路中、进口处设交通标志，限制夜间行车速度。提高工程质量，加强维修养</w:t>
                        </w:r>
                        <w:r w:rsidRPr="00C95B63">
                          <w:rPr>
                            <w:rFonts w:ascii="宋体" w:hAnsi="宋体" w:cs="宋体" w:hint="eastAsia"/>
                            <w:szCs w:val="21"/>
                          </w:rPr>
                          <w:lastRenderedPageBreak/>
                          <w:t>护和管理，保证桥面的平整度，以减少汽车行驶过程中产生的振动和噪音。通过对行驶车辆进行限速、敏感地段禁止鸣笛等措施，使其对</w:t>
                        </w:r>
                        <w:proofErr w:type="gramStart"/>
                        <w:r w:rsidRPr="00C95B63">
                          <w:rPr>
                            <w:rFonts w:ascii="宋体" w:hAnsi="宋体" w:cs="宋体" w:hint="eastAsia"/>
                            <w:szCs w:val="21"/>
                          </w:rPr>
                          <w:t>区域内声环境影响</w:t>
                        </w:r>
                        <w:proofErr w:type="gramEnd"/>
                        <w:r w:rsidRPr="00C95B63">
                          <w:rPr>
                            <w:rFonts w:ascii="宋体" w:hAnsi="宋体" w:cs="宋体" w:hint="eastAsia"/>
                            <w:szCs w:val="21"/>
                          </w:rPr>
                          <w:t>降至最低。</w:t>
                        </w:r>
                      </w:p>
                      <w:p w:rsidR="00C95B63" w:rsidRPr="00C95B63" w:rsidRDefault="00C95B63" w:rsidP="00C95B63">
                        <w:pPr>
                          <w:widowControl/>
                          <w:jc w:val="left"/>
                          <w:rPr>
                            <w:rFonts w:ascii="宋体" w:hAnsi="宋体" w:cs="宋体" w:hint="eastAsia"/>
                            <w:kern w:val="0"/>
                            <w:sz w:val="24"/>
                          </w:rPr>
                        </w:pPr>
                        <w:r w:rsidRPr="00C95B63">
                          <w:rPr>
                            <w:rFonts w:ascii="宋体" w:hAnsi="宋体" w:cs="宋体" w:hint="eastAsia"/>
                            <w:szCs w:val="21"/>
                          </w:rPr>
                          <w:t>（五）加强施工期固体废物环境管理。</w:t>
                        </w:r>
                      </w:p>
                      <w:p w:rsidR="00C95B63" w:rsidRPr="00C95B63" w:rsidRDefault="00C95B63" w:rsidP="00C95B63">
                        <w:pPr>
                          <w:widowControl/>
                          <w:jc w:val="left"/>
                          <w:rPr>
                            <w:rFonts w:ascii="宋体" w:hAnsi="宋体" w:cs="宋体" w:hint="eastAsia"/>
                            <w:kern w:val="0"/>
                            <w:sz w:val="24"/>
                          </w:rPr>
                        </w:pPr>
                        <w:r w:rsidRPr="00C95B63">
                          <w:rPr>
                            <w:rFonts w:ascii="宋体" w:hAnsi="宋体" w:cs="宋体" w:hint="eastAsia"/>
                            <w:szCs w:val="21"/>
                          </w:rPr>
                          <w:t>施工期采取的措施：施工期产生的建筑垃圾除能利用的部分外其余全部运至白城市指定的建筑垃圾堆放场；施工人员的生活垃圾经集中收集后，交由市政环卫部门统一处理</w:t>
                        </w:r>
                      </w:p>
                      <w:p w:rsidR="00C95B63" w:rsidRPr="00C95B63" w:rsidRDefault="00C95B63" w:rsidP="00C95B63">
                        <w:pPr>
                          <w:widowControl/>
                          <w:jc w:val="left"/>
                          <w:rPr>
                            <w:rFonts w:ascii="宋体" w:hAnsi="宋体" w:cs="宋体" w:hint="eastAsia"/>
                            <w:kern w:val="0"/>
                            <w:sz w:val="24"/>
                          </w:rPr>
                        </w:pPr>
                        <w:r w:rsidRPr="00C95B63">
                          <w:rPr>
                            <w:rFonts w:ascii="宋体" w:hAnsi="宋体" w:cs="宋体" w:hint="eastAsia"/>
                            <w:szCs w:val="21"/>
                          </w:rPr>
                          <w:t>（六）加强生态环境保护管理。施工期采取有效措施，减小对周边生态环境的影响，施工完成后及时清理现场，做好生态恢复工作。</w:t>
                        </w:r>
                      </w:p>
                      <w:p w:rsidR="00C95B63" w:rsidRPr="00C95B63" w:rsidRDefault="00C95B63" w:rsidP="00C95B63">
                        <w:pPr>
                          <w:widowControl/>
                          <w:jc w:val="left"/>
                          <w:rPr>
                            <w:rFonts w:ascii="宋体" w:hAnsi="宋体" w:cs="宋体" w:hint="eastAsia"/>
                            <w:kern w:val="0"/>
                            <w:sz w:val="24"/>
                          </w:rPr>
                        </w:pPr>
                        <w:r w:rsidRPr="00C95B63">
                          <w:rPr>
                            <w:rFonts w:ascii="宋体" w:hAnsi="宋体" w:cs="宋体" w:hint="eastAsia"/>
                            <w:szCs w:val="21"/>
                          </w:rPr>
                          <w:t>（七）加强风险防范，制定应急预案，贯彻并落实应急措施。</w:t>
                        </w:r>
                      </w:p>
                      <w:p w:rsidR="00C95B63" w:rsidRPr="00C95B63" w:rsidRDefault="00C95B63" w:rsidP="00C95B63">
                        <w:pPr>
                          <w:widowControl/>
                          <w:jc w:val="left"/>
                          <w:rPr>
                            <w:rFonts w:ascii="宋体" w:hAnsi="宋体" w:cs="宋体" w:hint="eastAsia"/>
                            <w:kern w:val="0"/>
                            <w:sz w:val="24"/>
                          </w:rPr>
                        </w:pPr>
                        <w:r w:rsidRPr="00C95B63">
                          <w:rPr>
                            <w:rFonts w:ascii="宋体" w:hAnsi="宋体" w:cs="宋体" w:hint="eastAsia"/>
                            <w:szCs w:val="21"/>
                          </w:rPr>
                          <w:t> </w:t>
                        </w:r>
                      </w:p>
                      <w:p w:rsidR="00C95B63" w:rsidRPr="00C95B63" w:rsidRDefault="00C95B63" w:rsidP="00C95B63">
                        <w:pPr>
                          <w:widowControl/>
                          <w:jc w:val="left"/>
                          <w:rPr>
                            <w:rFonts w:ascii="宋体" w:hAnsi="宋体" w:cs="宋体"/>
                            <w:kern w:val="0"/>
                            <w:sz w:val="24"/>
                          </w:rPr>
                        </w:pPr>
                        <w:r w:rsidRPr="00C95B63">
                          <w:rPr>
                            <w:rFonts w:ascii="宋体" w:hAnsi="宋体" w:cs="宋体" w:hint="eastAsia"/>
                            <w:szCs w:val="21"/>
                          </w:rPr>
                          <w:t> </w:t>
                        </w:r>
                      </w:p>
                    </w:tc>
                    <w:tc>
                      <w:tcPr>
                        <w:tcW w:w="1462" w:type="dxa"/>
                        <w:tcBorders>
                          <w:top w:val="inset" w:sz="6" w:space="0" w:color="auto"/>
                          <w:left w:val="nil"/>
                          <w:bottom w:val="inset" w:sz="6" w:space="0" w:color="auto"/>
                          <w:right w:val="inset" w:sz="6" w:space="0" w:color="auto"/>
                        </w:tcBorders>
                        <w:shd w:val="clear" w:color="auto" w:fill="auto"/>
                        <w:vAlign w:val="center"/>
                        <w:hideMark/>
                      </w:tcPr>
                      <w:p w:rsidR="00C95B63" w:rsidRPr="00C95B63" w:rsidRDefault="00C95B63" w:rsidP="00C95B63">
                        <w:pPr>
                          <w:widowControl/>
                          <w:jc w:val="left"/>
                          <w:rPr>
                            <w:rFonts w:ascii="宋体" w:hAnsi="宋体" w:cs="宋体"/>
                            <w:kern w:val="0"/>
                            <w:sz w:val="24"/>
                          </w:rPr>
                        </w:pPr>
                        <w:r w:rsidRPr="00C95B63">
                          <w:rPr>
                            <w:rFonts w:ascii="宋体" w:hAnsi="宋体" w:cs="宋体" w:hint="eastAsia"/>
                            <w:kern w:val="0"/>
                            <w:szCs w:val="21"/>
                          </w:rPr>
                          <w:lastRenderedPageBreak/>
                          <w:t> </w:t>
                        </w:r>
                      </w:p>
                    </w:tc>
                  </w:tr>
                </w:tbl>
                <w:p w:rsidR="00C95B63" w:rsidRPr="00C95B63" w:rsidRDefault="00C95B63" w:rsidP="00C95B63">
                  <w:pPr>
                    <w:widowControl/>
                    <w:jc w:val="center"/>
                    <w:rPr>
                      <w:rFonts w:ascii="宋体" w:hAnsi="宋体" w:cs="宋体"/>
                      <w:kern w:val="0"/>
                      <w:sz w:val="24"/>
                    </w:rPr>
                  </w:pPr>
                  <w:r w:rsidRPr="00C95B63">
                    <w:rPr>
                      <w:rFonts w:ascii="宋体" w:hAnsi="宋体" w:cs="宋体" w:hint="eastAsia"/>
                      <w:color w:val="000000"/>
                      <w:kern w:val="0"/>
                      <w:szCs w:val="21"/>
                    </w:rPr>
                    <w:lastRenderedPageBreak/>
                    <w:t> </w:t>
                  </w:r>
                </w:p>
              </w:tc>
            </w:tr>
          </w:tbl>
          <w:p w:rsidR="00C95B63" w:rsidRPr="00C95B63" w:rsidRDefault="00C95B63" w:rsidP="00C95B63">
            <w:pPr>
              <w:widowControl/>
              <w:spacing w:beforeAutospacing="1" w:afterAutospacing="1"/>
              <w:jc w:val="left"/>
              <w:rPr>
                <w:rFonts w:ascii="宋体" w:hAnsi="宋体" w:cs="宋体"/>
                <w:kern w:val="0"/>
                <w:sz w:val="24"/>
              </w:rPr>
            </w:pPr>
          </w:p>
        </w:tc>
      </w:tr>
    </w:tbl>
    <w:p w:rsidR="00000000" w:rsidRPr="00C95B63" w:rsidRDefault="00C95B63" w:rsidP="00C95B63">
      <w:pPr>
        <w:rPr>
          <w:rFonts w:hint="eastAsia"/>
        </w:rPr>
      </w:pPr>
    </w:p>
    <w:sectPr w:rsidR="00000000" w:rsidRPr="00C95B63">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4BD" w:rsidRDefault="009814BD" w:rsidP="009814BD">
      <w:r>
        <w:separator/>
      </w:r>
    </w:p>
  </w:endnote>
  <w:endnote w:type="continuationSeparator" w:id="1">
    <w:p w:rsidR="009814BD" w:rsidRDefault="009814BD" w:rsidP="00981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4BD" w:rsidRDefault="009814BD" w:rsidP="009814BD">
      <w:r>
        <w:separator/>
      </w:r>
    </w:p>
  </w:footnote>
  <w:footnote w:type="continuationSeparator" w:id="1">
    <w:p w:rsidR="009814BD" w:rsidRDefault="009814BD" w:rsidP="009814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4CCE"/>
    <w:rsid w:val="000468E7"/>
    <w:rsid w:val="0005655B"/>
    <w:rsid w:val="002A6DFC"/>
    <w:rsid w:val="003707B0"/>
    <w:rsid w:val="00384CCE"/>
    <w:rsid w:val="003D3AC9"/>
    <w:rsid w:val="004100F5"/>
    <w:rsid w:val="00425210"/>
    <w:rsid w:val="00427DEB"/>
    <w:rsid w:val="004D6267"/>
    <w:rsid w:val="00561600"/>
    <w:rsid w:val="00571E74"/>
    <w:rsid w:val="005A7BAB"/>
    <w:rsid w:val="005F160D"/>
    <w:rsid w:val="006154E3"/>
    <w:rsid w:val="0065408F"/>
    <w:rsid w:val="006741C0"/>
    <w:rsid w:val="006D1969"/>
    <w:rsid w:val="007648AC"/>
    <w:rsid w:val="007A118D"/>
    <w:rsid w:val="00917D68"/>
    <w:rsid w:val="0097605E"/>
    <w:rsid w:val="009814BD"/>
    <w:rsid w:val="009918FC"/>
    <w:rsid w:val="00996505"/>
    <w:rsid w:val="00B23F50"/>
    <w:rsid w:val="00BB5969"/>
    <w:rsid w:val="00C20EB9"/>
    <w:rsid w:val="00C95B63"/>
    <w:rsid w:val="00D15203"/>
    <w:rsid w:val="00D44396"/>
    <w:rsid w:val="00DB4EE2"/>
    <w:rsid w:val="00DD47C4"/>
    <w:rsid w:val="00E769AC"/>
    <w:rsid w:val="00EE036C"/>
    <w:rsid w:val="00F42225"/>
    <w:rsid w:val="03A71162"/>
    <w:rsid w:val="17480497"/>
    <w:rsid w:val="1C086788"/>
    <w:rsid w:val="1E977E46"/>
    <w:rsid w:val="2258232B"/>
    <w:rsid w:val="24F01425"/>
    <w:rsid w:val="2C9C5EA6"/>
    <w:rsid w:val="30F20EA7"/>
    <w:rsid w:val="3B0D66F8"/>
    <w:rsid w:val="4399295A"/>
    <w:rsid w:val="78906CBB"/>
    <w:rsid w:val="7A530EBC"/>
    <w:rsid w:val="7BBD6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39"/>
    <w:unhideWhenUsed/>
    <w:qFormat/>
    <w:pPr>
      <w:ind w:leftChars="200" w:left="420"/>
    </w:pPr>
  </w:style>
  <w:style w:type="paragraph" w:styleId="a5">
    <w:name w:val="Body Text Indent"/>
    <w:basedOn w:val="a"/>
    <w:pPr>
      <w:spacing w:line="480" w:lineRule="exact"/>
      <w:ind w:firstLineChars="200" w:firstLine="560"/>
    </w:pPr>
    <w:rPr>
      <w:rFonts w:ascii="楷体_GB2312" w:eastAsia="楷体_GB2312"/>
      <w:color w:val="000000"/>
      <w:kern w:val="8"/>
      <w:sz w:val="28"/>
    </w:rPr>
  </w:style>
  <w:style w:type="paragraph" w:styleId="a6">
    <w:name w:val="footer"/>
    <w:basedOn w:val="a"/>
    <w:pPr>
      <w:tabs>
        <w:tab w:val="center" w:pos="4153"/>
        <w:tab w:val="right" w:pos="8306"/>
      </w:tabs>
      <w:snapToGrid w:val="0"/>
      <w:jc w:val="left"/>
    </w:pPr>
    <w:rPr>
      <w:sz w:val="18"/>
      <w:szCs w:val="18"/>
    </w:rPr>
  </w:style>
  <w:style w:type="paragraph" w:customStyle="1" w:styleId="001">
    <w:name w:val="正文001"/>
    <w:basedOn w:val="a"/>
    <w:pPr>
      <w:spacing w:before="60" w:line="420" w:lineRule="exact"/>
      <w:ind w:firstLine="482"/>
    </w:pPr>
    <w:rPr>
      <w:sz w:val="24"/>
      <w:szCs w:val="20"/>
    </w:rPr>
  </w:style>
  <w:style w:type="paragraph" w:customStyle="1" w:styleId="Char">
    <w:name w:val="Char"/>
    <w:basedOn w:val="a"/>
  </w:style>
  <w:style w:type="paragraph" w:customStyle="1" w:styleId="CharCharCharCharCharCharCharCharChar">
    <w:name w:val=" Char Char Char Char Char Char Char Char Char"/>
    <w:basedOn w:val="a"/>
  </w:style>
  <w:style w:type="character" w:styleId="a7">
    <w:name w:val="Strong"/>
    <w:basedOn w:val="a0"/>
    <w:uiPriority w:val="22"/>
    <w:qFormat/>
    <w:rsid w:val="009814BD"/>
    <w:rPr>
      <w:b/>
      <w:bCs/>
    </w:rPr>
  </w:style>
</w:styles>
</file>

<file path=word/webSettings.xml><?xml version="1.0" encoding="utf-8"?>
<w:webSettings xmlns:r="http://schemas.openxmlformats.org/officeDocument/2006/relationships" xmlns:w="http://schemas.openxmlformats.org/wordprocessingml/2006/main">
  <w:divs>
    <w:div w:id="440808488">
      <w:bodyDiv w:val="1"/>
      <w:marLeft w:val="0"/>
      <w:marRight w:val="0"/>
      <w:marTop w:val="0"/>
      <w:marBottom w:val="0"/>
      <w:divBdr>
        <w:top w:val="none" w:sz="0" w:space="0" w:color="auto"/>
        <w:left w:val="none" w:sz="0" w:space="0" w:color="auto"/>
        <w:bottom w:val="none" w:sz="0" w:space="0" w:color="auto"/>
        <w:right w:val="none" w:sz="0" w:space="0" w:color="auto"/>
      </w:divBdr>
    </w:div>
    <w:div w:id="637422653">
      <w:bodyDiv w:val="1"/>
      <w:marLeft w:val="0"/>
      <w:marRight w:val="0"/>
      <w:marTop w:val="0"/>
      <w:marBottom w:val="0"/>
      <w:divBdr>
        <w:top w:val="none" w:sz="0" w:space="0" w:color="auto"/>
        <w:left w:val="none" w:sz="0" w:space="0" w:color="auto"/>
        <w:bottom w:val="none" w:sz="0" w:space="0" w:color="auto"/>
        <w:right w:val="none" w:sz="0" w:space="0" w:color="auto"/>
      </w:divBdr>
    </w:div>
    <w:div w:id="1421683598">
      <w:bodyDiv w:val="1"/>
      <w:marLeft w:val="0"/>
      <w:marRight w:val="0"/>
      <w:marTop w:val="0"/>
      <w:marBottom w:val="0"/>
      <w:divBdr>
        <w:top w:val="none" w:sz="0" w:space="0" w:color="auto"/>
        <w:left w:val="none" w:sz="0" w:space="0" w:color="auto"/>
        <w:bottom w:val="none" w:sz="0" w:space="0" w:color="auto"/>
        <w:right w:val="none" w:sz="0" w:space="0" w:color="auto"/>
      </w:divBdr>
    </w:div>
    <w:div w:id="1605110532">
      <w:bodyDiv w:val="1"/>
      <w:marLeft w:val="0"/>
      <w:marRight w:val="0"/>
      <w:marTop w:val="0"/>
      <w:marBottom w:val="0"/>
      <w:divBdr>
        <w:top w:val="none" w:sz="0" w:space="0" w:color="auto"/>
        <w:left w:val="none" w:sz="0" w:space="0" w:color="auto"/>
        <w:bottom w:val="none" w:sz="0" w:space="0" w:color="auto"/>
        <w:right w:val="none" w:sz="0" w:space="0" w:color="auto"/>
      </w:divBdr>
    </w:div>
    <w:div w:id="190201766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1639</Words>
  <Characters>193</Characters>
  <Application>Microsoft Office Word</Application>
  <DocSecurity>0</DocSecurity>
  <PresentationFormat/>
  <Lines>1</Lines>
  <Paragraphs>3</Paragraphs>
  <Slides>0</Slides>
  <Notes>0</Notes>
  <HiddenSlides>0</HiddenSlides>
  <MMClips>0</MMClips>
  <ScaleCrop>false</ScaleCrop>
  <Company>Users</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白城市洮北区鼎源新型建材厂年产12万立方米粉煤灰烧结多孔砖建设项目拟审批公示</dc:title>
  <dc:creator>X</dc:creator>
  <cp:lastModifiedBy>Windows 用户</cp:lastModifiedBy>
  <cp:revision>2</cp:revision>
  <dcterms:created xsi:type="dcterms:W3CDTF">2018-11-26T06:32:00Z</dcterms:created>
  <dcterms:modified xsi:type="dcterms:W3CDTF">2018-11-26T06:32:00Z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