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>
      <w:pPr>
        <w:spacing w:before="143" w:line="612" w:lineRule="exact"/>
        <w:ind w:left="261"/>
        <w:rPr>
          <w:rFonts w:hint="eastAsia" w:ascii="宋体" w:hAnsi="宋体" w:eastAsia="宋体" w:cs="宋体"/>
          <w:b/>
          <w:bCs/>
          <w:spacing w:val="-18"/>
          <w:position w:val="11"/>
          <w:sz w:val="44"/>
          <w:szCs w:val="44"/>
          <w:lang w:eastAsia="zh-CN"/>
        </w:rPr>
      </w:pPr>
    </w:p>
    <w:p>
      <w:pPr>
        <w:spacing w:before="143" w:line="612" w:lineRule="exact"/>
        <w:ind w:left="26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8"/>
          <w:position w:val="11"/>
          <w:sz w:val="44"/>
          <w:szCs w:val="44"/>
          <w:lang w:eastAsia="zh-CN"/>
        </w:rPr>
        <w:t>洮北区</w:t>
      </w:r>
      <w:r>
        <w:rPr>
          <w:rFonts w:ascii="宋体" w:hAnsi="宋体" w:eastAsia="宋体" w:cs="宋体"/>
          <w:b/>
          <w:bCs/>
          <w:spacing w:val="-18"/>
          <w:position w:val="11"/>
          <w:sz w:val="44"/>
          <w:szCs w:val="44"/>
        </w:rPr>
        <w:t>房屋市政工程重大事故隐患专项排查整</w:t>
      </w:r>
    </w:p>
    <w:p>
      <w:pPr>
        <w:spacing w:line="220" w:lineRule="auto"/>
        <w:ind w:left="2561"/>
        <w:rPr>
          <w:rFonts w:ascii="宋体" w:hAnsi="宋体" w:eastAsia="宋体" w:cs="宋体"/>
          <w:b/>
          <w:bCs/>
          <w:spacing w:val="-12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治行动工作专班成员</w:t>
      </w:r>
    </w:p>
    <w:p>
      <w:pPr>
        <w:pStyle w:val="2"/>
        <w:ind w:left="0" w:leftChars="0" w:firstLine="0" w:firstLineChars="0"/>
        <w:rPr>
          <w:rFonts w:ascii="宋体" w:hAnsi="宋体" w:eastAsia="宋体" w:cs="宋体"/>
          <w:b/>
          <w:bCs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长：程静波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局党组书记、局长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副组长：陈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lang w:eastAsia="zh-CN"/>
        </w:rPr>
        <w:t>明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主任科员</w:t>
      </w:r>
    </w:p>
    <w:p>
      <w:pPr>
        <w:pStyle w:val="2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组  员：宋锁良  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于  涛  科员</w:t>
      </w:r>
    </w:p>
    <w:p>
      <w:pPr>
        <w:pStyle w:val="2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张寿宇  科员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张  恒  科员</w:t>
      </w:r>
    </w:p>
    <w:p>
      <w:pPr>
        <w:pStyle w:val="2"/>
        <w:rPr>
          <w:rFonts w:hint="eastAsia" w:ascii="仿宋" w:hAnsi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87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刘  泽  科员</w:t>
      </w:r>
    </w:p>
    <w:p>
      <w:pPr>
        <w:pStyle w:val="5"/>
        <w:pBdr>
          <w:bottom w:val="none" w:color="auto" w:sz="0" w:space="0"/>
        </w:pBd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spacing w:before="230" w:line="209" w:lineRule="auto"/>
        <w:ind w:left="109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9"/>
          <w:sz w:val="36"/>
          <w:szCs w:val="36"/>
        </w:rPr>
        <w:t>房屋市政工程生产安全重大事故隐患判定标准(</w:t>
      </w:r>
      <w:r>
        <w:rPr>
          <w:rFonts w:ascii="宋体" w:hAnsi="宋体" w:eastAsia="宋体" w:cs="宋体"/>
          <w:b/>
          <w:bCs/>
          <w:spacing w:val="8"/>
          <w:sz w:val="36"/>
          <w:szCs w:val="36"/>
        </w:rPr>
        <w:t>2022版)</w:t>
      </w:r>
    </w:p>
    <w:tbl>
      <w:tblPr>
        <w:tblStyle w:val="34"/>
        <w:tblW w:w="9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07"/>
        <w:gridCol w:w="7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24" w:type="dxa"/>
            <w:vAlign w:val="top"/>
          </w:tcPr>
          <w:p>
            <w:pPr>
              <w:spacing w:before="152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07" w:type="dxa"/>
            <w:vAlign w:val="top"/>
          </w:tcPr>
          <w:p>
            <w:pPr>
              <w:spacing w:before="151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7172" w:type="dxa"/>
            <w:vAlign w:val="top"/>
          </w:tcPr>
          <w:p>
            <w:pPr>
              <w:spacing w:before="151" w:line="219" w:lineRule="auto"/>
              <w:ind w:left="30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体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348" w:lineRule="exact"/>
              <w:jc w:val="center"/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安全</w:t>
            </w:r>
          </w:p>
          <w:p>
            <w:pPr>
              <w:spacing w:before="78" w:line="348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管理</w:t>
            </w:r>
          </w:p>
        </w:tc>
        <w:tc>
          <w:tcPr>
            <w:tcW w:w="7172" w:type="dxa"/>
            <w:vAlign w:val="top"/>
          </w:tcPr>
          <w:p>
            <w:pPr>
              <w:spacing w:before="100" w:line="227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(一)建筑施工企业未取得安全生产许可证擅自从事建筑施工活动；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89" w:line="242" w:lineRule="auto"/>
              <w:ind w:left="31" w:right="15" w:firstLine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(二)施工单位的主要负责人、项目负责人、专职安全生产管理人员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未取得安全生产考核合格证书从事相关工作；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12" w:line="241" w:lineRule="auto"/>
              <w:ind w:left="31" w:righ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(三)建筑施工特种作业人员未取得特种作业人员操作资格证书上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岗作业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262" w:line="277" w:lineRule="auto"/>
              <w:ind w:left="31" w:firstLine="1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(四)危险性较大的分部分项工程未编制、未审核专项施工方案，或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未按规定组织专家对"超过一定规模的危险性较大的分部分项工程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范围”的专项施工方案进行论证。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4"/>
                <w:szCs w:val="24"/>
              </w:rPr>
              <w:t>基坑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工程</w:t>
            </w:r>
          </w:p>
        </w:tc>
        <w:tc>
          <w:tcPr>
            <w:tcW w:w="7172" w:type="dxa"/>
            <w:vAlign w:val="top"/>
          </w:tcPr>
          <w:p>
            <w:pPr>
              <w:spacing w:before="113" w:line="243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(一)对因基坑工程施工可能造成损害的毗邻重要建筑物、构筑物和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地下管线等，未采取专项防护措施；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33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(二)基坑土方超挖且未采取有效措施；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95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(三)深基坑施工未进行第三方监测；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78" w:line="22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(四)有下列基坑坍塌风险预兆之一，且未及时处理：</w:t>
            </w:r>
          </w:p>
          <w:p>
            <w:pPr>
              <w:spacing w:before="73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1.支护结构或周边建筑物变形值超过设计变形控制值；</w:t>
            </w:r>
          </w:p>
          <w:p>
            <w:pPr>
              <w:spacing w:before="84" w:line="370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position w:val="9"/>
                <w:sz w:val="24"/>
                <w:szCs w:val="24"/>
              </w:rPr>
              <w:t>2.基坑侧壁出现大量漏水、流土；</w:t>
            </w:r>
          </w:p>
          <w:p>
            <w:pPr>
              <w:spacing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3.基坑底部出现管涌；</w:t>
            </w:r>
          </w:p>
          <w:p>
            <w:pPr>
              <w:spacing w:before="65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4.桩间土流失孔洞深度超过桩径。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372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4"/>
                <w:szCs w:val="24"/>
              </w:rPr>
              <w:t>模板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工程</w:t>
            </w:r>
          </w:p>
        </w:tc>
        <w:tc>
          <w:tcPr>
            <w:tcW w:w="7172" w:type="dxa"/>
            <w:vAlign w:val="top"/>
          </w:tcPr>
          <w:p>
            <w:pPr>
              <w:spacing w:before="135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(一)模板工程的地基基础承载力和变形不满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足设计要求；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26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(二)模板支架承受的施工荷载超过设计值；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25" w:line="232" w:lineRule="auto"/>
              <w:ind w:left="31" w:right="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(三)模板支架拆除及滑模、爬模爬升时，混凝土强度未达到设计或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规范要求。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脚手</w:t>
            </w:r>
          </w:p>
          <w:p>
            <w:pPr>
              <w:spacing w:before="8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架工</w:t>
            </w:r>
          </w:p>
          <w:p>
            <w:pPr>
              <w:spacing w:before="8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7172" w:type="dxa"/>
            <w:vAlign w:val="top"/>
          </w:tcPr>
          <w:p>
            <w:pPr>
              <w:spacing w:before="147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(一)脚手架工程的地基基础承载力和变形不满足设计要求；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19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(二)未设置连墙件或连墙件整层缺失；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57" w:line="219" w:lineRule="auto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(三)附着式升降脚手架未经验收合格即投入使用；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118" w:line="231" w:lineRule="auto"/>
              <w:ind w:left="31" w:right="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(四)附着式升降脚手架的防倾覆、防坠落或同步升降控制装置不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合设计要求、失效、被人为拆除破坏；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2" w:type="dxa"/>
            <w:vAlign w:val="top"/>
          </w:tcPr>
          <w:p>
            <w:pPr>
              <w:spacing w:before="248" w:line="260" w:lineRule="auto"/>
              <w:ind w:left="31" w:right="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(五)附着式升降脚手架使用过程中架体悬臂高度大于架体高度的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2/5或大于6米。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0" w:h="16830"/>
          <w:pgMar w:top="1134" w:right="1219" w:bottom="1134" w:left="1219" w:header="0" w:footer="851" w:gutter="0"/>
          <w:pgNumType w:fmt="numberInDash"/>
          <w:cols w:space="720" w:num="1"/>
        </w:sectPr>
      </w:pPr>
    </w:p>
    <w:p/>
    <w:p/>
    <w:p>
      <w:pPr>
        <w:spacing w:line="142" w:lineRule="exact"/>
      </w:pPr>
    </w:p>
    <w:tbl>
      <w:tblPr>
        <w:tblStyle w:val="34"/>
        <w:tblW w:w="8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90"/>
        <w:gridCol w:w="7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94" w:type="dxa"/>
            <w:vAlign w:val="top"/>
          </w:tcPr>
          <w:p>
            <w:pPr>
              <w:spacing w:before="133" w:line="221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990" w:type="dxa"/>
            <w:vAlign w:val="top"/>
          </w:tcPr>
          <w:p>
            <w:pPr>
              <w:spacing w:before="131" w:line="219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类别</w:t>
            </w:r>
          </w:p>
        </w:tc>
        <w:tc>
          <w:tcPr>
            <w:tcW w:w="7202" w:type="dxa"/>
            <w:vAlign w:val="top"/>
          </w:tcPr>
          <w:p>
            <w:pPr>
              <w:spacing w:before="131" w:line="219" w:lineRule="auto"/>
              <w:ind w:left="3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6"/>
                <w:sz w:val="25"/>
                <w:szCs w:val="25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2" w:line="182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2" w:line="255" w:lineRule="auto"/>
              <w:ind w:left="151" w:right="127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起重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机械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及吊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装工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程</w:t>
            </w:r>
          </w:p>
        </w:tc>
        <w:tc>
          <w:tcPr>
            <w:tcW w:w="7202" w:type="dxa"/>
            <w:vAlign w:val="top"/>
          </w:tcPr>
          <w:p>
            <w:pPr>
              <w:spacing w:before="79"/>
              <w:ind w:left="11" w:right="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(一)塔式起重机、施工升降机、物料提升机等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起重机械设备未经验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收合格即投入使用，或未按规定办理使用登记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90" w:line="232" w:lineRule="auto"/>
              <w:ind w:left="11" w:right="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(二)塔式起重机独立起升高度、附着间距和最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高附着以上的最大悬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高及垂直度不符合规范要求；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82" w:line="235" w:lineRule="auto"/>
              <w:ind w:left="11" w:right="37" w:firstLine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(三)施工升降机附着间距和最高附着以上的最大悬高及垂直度不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符合规范要求：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104" w:line="250" w:lineRule="auto"/>
              <w:ind w:left="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(四)起重机械安装、拆卸、顶升加节以及附着前未对结构件、顶升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机构和附着装置以及高强度螺栓、销轴、定位板等连接件及安全装 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置进行检查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73" w:line="226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(五)建筑起重机械的安全装置不齐全、失效或者被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违规拆除、破坏；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92" w:line="235" w:lineRule="auto"/>
              <w:ind w:left="11" w:right="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(六)施工升降机防坠安全器超过定期检验有效期，标准节连接螺栓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缺失或失效；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73" w:line="219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(七)建筑起重机械的地基基础承载力和变形不满足设计要求。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47" w:lineRule="auto"/>
              <w:ind w:left="151" w:right="14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高处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作业</w:t>
            </w:r>
          </w:p>
        </w:tc>
        <w:tc>
          <w:tcPr>
            <w:tcW w:w="7202" w:type="dxa"/>
            <w:vAlign w:val="top"/>
          </w:tcPr>
          <w:p>
            <w:pPr>
              <w:spacing w:before="106" w:line="257" w:lineRule="auto"/>
              <w:ind w:left="11" w:right="19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(一)钢结构、网架安装用支撑结构地基基础承载力和变形不满足设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计要求，钢结构、网架安装用支撑结构未按设计要求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设置防倾覆装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84" w:line="219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(二)单榀钢桁架(屋架)安装时未采取防失稳措施；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85" w:line="234" w:lineRule="auto"/>
              <w:ind w:left="11" w:right="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(三)悬挑式操作平台的搁置点、拉结点、支撑点未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设置在稳定的主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体结构上，且未做可靠连接。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94" w:type="dxa"/>
            <w:vAlign w:val="top"/>
          </w:tcPr>
          <w:p>
            <w:pPr>
              <w:spacing w:before="313" w:line="182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990" w:type="dxa"/>
            <w:vAlign w:val="top"/>
          </w:tcPr>
          <w:p>
            <w:pPr>
              <w:spacing w:before="116" w:line="223" w:lineRule="auto"/>
              <w:ind w:left="20" w:right="18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施工临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时用电</w:t>
            </w:r>
          </w:p>
        </w:tc>
        <w:tc>
          <w:tcPr>
            <w:tcW w:w="7202" w:type="dxa"/>
            <w:vAlign w:val="top"/>
          </w:tcPr>
          <w:p>
            <w:pPr>
              <w:spacing w:before="88" w:line="243" w:lineRule="auto"/>
              <w:ind w:left="10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特殊作业环境(隧道、人防工程，高温、有导电灰尘、比较潮湿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作业环境)照明未按规定使用安全电压的。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before="307" w:line="243" w:lineRule="auto"/>
              <w:ind w:left="20" w:right="2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有限空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间作业</w:t>
            </w:r>
          </w:p>
        </w:tc>
        <w:tc>
          <w:tcPr>
            <w:tcW w:w="7202" w:type="dxa"/>
            <w:vAlign w:val="top"/>
          </w:tcPr>
          <w:p>
            <w:pPr>
              <w:spacing w:before="93" w:line="231" w:lineRule="auto"/>
              <w:ind w:left="11" w:right="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(一)有限空间作业未履行“作业审批制度”,未对施工人员进行专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项安全教育培训，未执行“先通风、再检测、后作业”原则；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88" w:line="219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(二)有限空间作业时现场未有专人负责监护工作。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94" w:type="dxa"/>
            <w:vAlign w:val="top"/>
          </w:tcPr>
          <w:p>
            <w:pPr>
              <w:spacing w:before="312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990" w:type="dxa"/>
            <w:vAlign w:val="top"/>
          </w:tcPr>
          <w:p>
            <w:pPr>
              <w:spacing w:before="107" w:line="226" w:lineRule="auto"/>
              <w:ind w:left="151" w:right="14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拆除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</w:p>
        </w:tc>
        <w:tc>
          <w:tcPr>
            <w:tcW w:w="7202" w:type="dxa"/>
            <w:vAlign w:val="top"/>
          </w:tcPr>
          <w:p>
            <w:pPr>
              <w:spacing w:before="248" w:line="227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拆除工程方面，拆除施工作业顺序不符合规范和施工方案要求的。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38" w:lineRule="auto"/>
              <w:ind w:left="151" w:right="14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暗挖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</w:p>
        </w:tc>
        <w:tc>
          <w:tcPr>
            <w:tcW w:w="7202" w:type="dxa"/>
            <w:vAlign w:val="top"/>
          </w:tcPr>
          <w:p>
            <w:pPr>
              <w:spacing w:before="107" w:line="235" w:lineRule="auto"/>
              <w:ind w:left="11" w:righ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(一)作业面带水施工未采取相关措施，或地下水控制措施失效且继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续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202" w:type="dxa"/>
            <w:vAlign w:val="top"/>
          </w:tcPr>
          <w:p>
            <w:pPr>
              <w:spacing w:before="107" w:line="226" w:lineRule="auto"/>
              <w:ind w:left="11" w:right="31" w:firstLine="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(二)施工时出现涌水、涌沙、局部坍塌，支护结构扭曲变形或出现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裂缝，且有不断增大趋势，未及时采取措施。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94" w:type="dxa"/>
            <w:vAlign w:val="top"/>
          </w:tcPr>
          <w:p>
            <w:pPr>
              <w:spacing w:before="312" w:line="184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11</w:t>
            </w:r>
          </w:p>
        </w:tc>
        <w:tc>
          <w:tcPr>
            <w:tcW w:w="990" w:type="dxa"/>
            <w:vAlign w:val="top"/>
          </w:tcPr>
          <w:p>
            <w:pPr>
              <w:spacing w:before="89" w:line="242" w:lineRule="auto"/>
              <w:ind w:left="151" w:right="14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危险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工艺</w:t>
            </w:r>
          </w:p>
        </w:tc>
        <w:tc>
          <w:tcPr>
            <w:tcW w:w="7202" w:type="dxa"/>
            <w:vAlign w:val="top"/>
          </w:tcPr>
          <w:p>
            <w:pPr>
              <w:spacing w:before="100" w:line="238" w:lineRule="auto"/>
              <w:ind w:left="11" w:right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使用危害程度较大、可能导致群死群伤或造成重大经济损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失的施工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工艺、设备和材料。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69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12</w:t>
            </w:r>
          </w:p>
        </w:tc>
        <w:tc>
          <w:tcPr>
            <w:tcW w:w="990" w:type="dxa"/>
            <w:vAlign w:val="top"/>
          </w:tcPr>
          <w:p>
            <w:pPr>
              <w:spacing w:before="82" w:line="220" w:lineRule="auto"/>
              <w:jc w:val="center"/>
              <w:rPr>
                <w:rFonts w:ascii="宋体" w:hAnsi="宋体" w:eastAsia="宋体" w:cs="宋体"/>
                <w:spacing w:val="17"/>
                <w:sz w:val="24"/>
                <w:szCs w:val="24"/>
              </w:rPr>
            </w:pPr>
          </w:p>
          <w:p>
            <w:pPr>
              <w:spacing w:before="82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其他</w:t>
            </w:r>
          </w:p>
        </w:tc>
        <w:tc>
          <w:tcPr>
            <w:tcW w:w="7202" w:type="dxa"/>
            <w:vAlign w:val="top"/>
          </w:tcPr>
          <w:p>
            <w:pPr>
              <w:spacing w:before="98"/>
              <w:ind w:left="11" w:right="10"/>
              <w:jc w:val="both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其他严重违反房屋市政工程安全生产法律法规、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部门规章及强制性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标准，且存在危害程度较大、可能导致群死群伤或造成重大经济损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失的现实危险</w:t>
            </w: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eastAsia="zh-CN"/>
              </w:rPr>
              <w:t>。</w:t>
            </w:r>
          </w:p>
        </w:tc>
      </w:tr>
    </w:tbl>
    <w:p>
      <w:pPr>
        <w:sectPr>
          <w:headerReference r:id="rId7" w:type="default"/>
          <w:footerReference r:id="rId8" w:type="default"/>
          <w:pgSz w:w="11900" w:h="16830"/>
          <w:pgMar w:top="907" w:right="1219" w:bottom="907" w:left="1219" w:header="0" w:footer="945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7" w:line="208" w:lineRule="auto"/>
        <w:ind w:left="119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4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2"/>
          <w:szCs w:val="32"/>
        </w:rPr>
        <w:t>件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1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2"/>
          <w:szCs w:val="32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房屋市政工程安全重大事故隐患专项排查整治统计表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单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位：</w:t>
      </w:r>
      <w:r>
        <w:rPr>
          <w:rFonts w:hint="eastAsia"/>
          <w:sz w:val="32"/>
          <w:szCs w:val="40"/>
          <w:lang w:val="en-US" w:eastAsia="zh-CN"/>
        </w:rPr>
        <w:t xml:space="preserve">                                                              时间：2023年   月   日</w:t>
      </w:r>
    </w:p>
    <w:tbl>
      <w:tblPr>
        <w:tblStyle w:val="34"/>
        <w:tblW w:w="14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40"/>
        <w:gridCol w:w="749"/>
        <w:gridCol w:w="580"/>
        <w:gridCol w:w="919"/>
        <w:gridCol w:w="959"/>
        <w:gridCol w:w="749"/>
        <w:gridCol w:w="749"/>
        <w:gridCol w:w="759"/>
        <w:gridCol w:w="760"/>
        <w:gridCol w:w="1589"/>
        <w:gridCol w:w="780"/>
        <w:gridCol w:w="1429"/>
        <w:gridCol w:w="749"/>
        <w:gridCol w:w="1059"/>
        <w:gridCol w:w="760"/>
        <w:gridCol w:w="760"/>
        <w:gridCol w:w="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435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7" w:lineRule="auto"/>
              <w:ind w:left="1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8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4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1" w:lineRule="auto"/>
              <w:ind w:left="1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9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成立检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7" w:lineRule="auto"/>
              <w:ind w:left="18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查组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18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(个)</w:t>
            </w:r>
          </w:p>
        </w:tc>
        <w:tc>
          <w:tcPr>
            <w:tcW w:w="5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18" w:lineRule="exact"/>
              <w:ind w:left="6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10"/>
                <w:sz w:val="20"/>
                <w:szCs w:val="20"/>
              </w:rPr>
              <w:t>派出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检查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63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</w:rPr>
              <w:t>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327" w:lineRule="exact"/>
              <w:ind w:left="61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8"/>
                <w:kern w:val="0"/>
                <w:position w:val="11"/>
                <w:sz w:val="20"/>
                <w:szCs w:val="20"/>
              </w:rPr>
              <w:t>(人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0"/>
                <w:szCs w:val="20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8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检查在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8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建房屋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8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市政工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0" w:lineRule="auto"/>
              <w:ind w:left="18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</w:rPr>
              <w:t>程项目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7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(个)</w:t>
            </w:r>
          </w:p>
        </w:tc>
        <w:tc>
          <w:tcPr>
            <w:tcW w:w="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检查城市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</w:rPr>
              <w:t>隧道工程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29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(个)</w:t>
            </w:r>
          </w:p>
        </w:tc>
        <w:tc>
          <w:tcPr>
            <w:tcW w:w="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76" w:lineRule="auto"/>
              <w:ind w:left="75" w:right="8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0"/>
                <w:szCs w:val="20"/>
              </w:rPr>
              <w:t>发现隐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患(处)</w:t>
            </w:r>
          </w:p>
        </w:tc>
        <w:tc>
          <w:tcPr>
            <w:tcW w:w="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9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0"/>
                <w:szCs w:val="20"/>
              </w:rPr>
              <w:t>已整改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2" w:lineRule="auto"/>
              <w:ind w:left="1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(处)</w:t>
            </w:r>
          </w:p>
        </w:tc>
        <w:tc>
          <w:tcPr>
            <w:tcW w:w="7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107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发现重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10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大隐患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2" w:lineRule="auto"/>
              <w:ind w:left="19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(处)</w:t>
            </w:r>
          </w:p>
        </w:tc>
        <w:tc>
          <w:tcPr>
            <w:tcW w:w="7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6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已整改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2" w:lineRule="auto"/>
              <w:ind w:left="19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3"/>
                <w:kern w:val="0"/>
                <w:sz w:val="20"/>
                <w:szCs w:val="20"/>
              </w:rPr>
              <w:t>(处)</w:t>
            </w:r>
          </w:p>
        </w:tc>
        <w:tc>
          <w:tcPr>
            <w:tcW w:w="15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74" w:lineRule="auto"/>
              <w:ind w:right="7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发现房屋市政工  程项目转包、违法 分包、特种设备未 经检验合格、特种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作业未持证上岗、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不按规定组织应急演练、违规操作等违法违规行为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(项)</w:t>
            </w:r>
          </w:p>
        </w:tc>
        <w:tc>
          <w:tcPr>
            <w:tcW w:w="7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已整改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0" w:lineRule="auto"/>
              <w:ind w:left="20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3"/>
                <w:kern w:val="0"/>
                <w:sz w:val="20"/>
                <w:szCs w:val="20"/>
              </w:rPr>
              <w:t>(项)</w:t>
            </w:r>
          </w:p>
        </w:tc>
        <w:tc>
          <w:tcPr>
            <w:tcW w:w="14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发现汛期基础开挖、基坑支护、脚手架基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础、塔吊和物料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</w:rPr>
              <w:t>提升机等重点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部位、重点工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序、重点设备突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出事故隐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0"/>
                <w:szCs w:val="20"/>
              </w:rPr>
              <w:t>(处)</w:t>
            </w:r>
          </w:p>
        </w:tc>
        <w:tc>
          <w:tcPr>
            <w:tcW w:w="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98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已整改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22" w:lineRule="auto"/>
              <w:ind w:left="18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3"/>
                <w:kern w:val="0"/>
                <w:sz w:val="20"/>
                <w:szCs w:val="20"/>
              </w:rPr>
              <w:t>(处)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发现滑坡、崩塌、洪水、泥石流等地质灾害，以及其它可能导致群死群伤的重大事故隐患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(处)</w:t>
            </w:r>
          </w:p>
        </w:tc>
        <w:tc>
          <w:tcPr>
            <w:tcW w:w="7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已整改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2" w:lineRule="auto"/>
              <w:ind w:left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3"/>
                <w:kern w:val="0"/>
                <w:sz w:val="20"/>
                <w:szCs w:val="20"/>
              </w:rPr>
              <w:t>(处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0"/>
                <w:szCs w:val="20"/>
              </w:rPr>
              <w:t>)</w:t>
            </w:r>
          </w:p>
        </w:tc>
        <w:tc>
          <w:tcPr>
            <w:tcW w:w="7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3" w:lineRule="auto"/>
              <w:ind w:left="110" w:right="6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</w:rPr>
              <w:t>行政处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</w:rPr>
              <w:t>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3" w:lineRule="auto"/>
              <w:ind w:right="6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（次）</w:t>
            </w:r>
          </w:p>
        </w:tc>
        <w:tc>
          <w:tcPr>
            <w:tcW w:w="5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</w:rPr>
              <w:t>罚款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79" w:lineRule="auto"/>
              <w:ind w:right="53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hint="default"/>
          <w:lang w:val="en-US" w:eastAsia="zh-CN"/>
        </w:rPr>
      </w:pPr>
    </w:p>
    <w:sectPr>
      <w:headerReference r:id="rId9" w:type="default"/>
      <w:footerReference r:id="rId10" w:type="default"/>
      <w:pgSz w:w="16838" w:h="11906" w:orient="landscape"/>
      <w:pgMar w:top="403" w:right="567" w:bottom="403" w:left="56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  <w:rPr>
        <w:rFonts w:hint="eastAsia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  <w:rPr>
        <w:rFonts w:hint="eastAsia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ZGE0MGZmNjM2ODdjMWYzYjI0ODMyN2E1NGQyZDUifQ=="/>
  </w:docVars>
  <w:rsids>
    <w:rsidRoot w:val="45B651B0"/>
    <w:rsid w:val="00440B46"/>
    <w:rsid w:val="00470683"/>
    <w:rsid w:val="0163739A"/>
    <w:rsid w:val="018C5DBA"/>
    <w:rsid w:val="01ED75DB"/>
    <w:rsid w:val="01F82FE1"/>
    <w:rsid w:val="02E10A18"/>
    <w:rsid w:val="03406E16"/>
    <w:rsid w:val="05B43D14"/>
    <w:rsid w:val="064A4F4F"/>
    <w:rsid w:val="073E00ED"/>
    <w:rsid w:val="08012487"/>
    <w:rsid w:val="09D73273"/>
    <w:rsid w:val="0AED7B1C"/>
    <w:rsid w:val="0B1B7594"/>
    <w:rsid w:val="0C1037FA"/>
    <w:rsid w:val="0D0A269D"/>
    <w:rsid w:val="0E47210D"/>
    <w:rsid w:val="100C5963"/>
    <w:rsid w:val="100E1475"/>
    <w:rsid w:val="10F70556"/>
    <w:rsid w:val="11001FB8"/>
    <w:rsid w:val="11962B50"/>
    <w:rsid w:val="123031D7"/>
    <w:rsid w:val="14E5190A"/>
    <w:rsid w:val="14F61406"/>
    <w:rsid w:val="14FC60B6"/>
    <w:rsid w:val="15E1607E"/>
    <w:rsid w:val="16C0124E"/>
    <w:rsid w:val="16C24A30"/>
    <w:rsid w:val="17A6346F"/>
    <w:rsid w:val="197445E2"/>
    <w:rsid w:val="1B137371"/>
    <w:rsid w:val="1C037412"/>
    <w:rsid w:val="1D3F47BC"/>
    <w:rsid w:val="1EC32F56"/>
    <w:rsid w:val="1FB54138"/>
    <w:rsid w:val="1FEC7D13"/>
    <w:rsid w:val="20B41BC5"/>
    <w:rsid w:val="20DF4E94"/>
    <w:rsid w:val="21930A82"/>
    <w:rsid w:val="2263457D"/>
    <w:rsid w:val="231326CE"/>
    <w:rsid w:val="240E72CA"/>
    <w:rsid w:val="24402AC2"/>
    <w:rsid w:val="24854AAB"/>
    <w:rsid w:val="24CB7AAA"/>
    <w:rsid w:val="25E62821"/>
    <w:rsid w:val="263739D8"/>
    <w:rsid w:val="27000507"/>
    <w:rsid w:val="2785169C"/>
    <w:rsid w:val="28252417"/>
    <w:rsid w:val="28B55150"/>
    <w:rsid w:val="29AE7AF9"/>
    <w:rsid w:val="2A042990"/>
    <w:rsid w:val="2A0D0CC4"/>
    <w:rsid w:val="2A3F666A"/>
    <w:rsid w:val="2B046C1F"/>
    <w:rsid w:val="2B4D46BA"/>
    <w:rsid w:val="2BF75D07"/>
    <w:rsid w:val="2C416AF7"/>
    <w:rsid w:val="2CAD2D77"/>
    <w:rsid w:val="2CB92A11"/>
    <w:rsid w:val="2D031496"/>
    <w:rsid w:val="2DB17BB8"/>
    <w:rsid w:val="2DD83397"/>
    <w:rsid w:val="318B056E"/>
    <w:rsid w:val="32237C00"/>
    <w:rsid w:val="323919F9"/>
    <w:rsid w:val="329F77F8"/>
    <w:rsid w:val="3338676E"/>
    <w:rsid w:val="36672747"/>
    <w:rsid w:val="369645F6"/>
    <w:rsid w:val="37DC5A17"/>
    <w:rsid w:val="37EA041A"/>
    <w:rsid w:val="38895E85"/>
    <w:rsid w:val="3892484A"/>
    <w:rsid w:val="38A27635"/>
    <w:rsid w:val="38C24555"/>
    <w:rsid w:val="3C2B179C"/>
    <w:rsid w:val="3C5E39F0"/>
    <w:rsid w:val="3CE30466"/>
    <w:rsid w:val="3D4178D9"/>
    <w:rsid w:val="3D5D725E"/>
    <w:rsid w:val="3DC95B11"/>
    <w:rsid w:val="3E2362E1"/>
    <w:rsid w:val="3E3D5761"/>
    <w:rsid w:val="3EEB78BB"/>
    <w:rsid w:val="408C5A63"/>
    <w:rsid w:val="408D0011"/>
    <w:rsid w:val="40AC650D"/>
    <w:rsid w:val="40CE3344"/>
    <w:rsid w:val="444E5D09"/>
    <w:rsid w:val="44ED1143"/>
    <w:rsid w:val="450B4FBE"/>
    <w:rsid w:val="45B651B0"/>
    <w:rsid w:val="47377E77"/>
    <w:rsid w:val="4752540B"/>
    <w:rsid w:val="47855C1F"/>
    <w:rsid w:val="47C87FC9"/>
    <w:rsid w:val="49130D48"/>
    <w:rsid w:val="49792B95"/>
    <w:rsid w:val="49ED5EDF"/>
    <w:rsid w:val="4B49674D"/>
    <w:rsid w:val="4D0105C6"/>
    <w:rsid w:val="4D25216D"/>
    <w:rsid w:val="4EA104B5"/>
    <w:rsid w:val="4EE7272D"/>
    <w:rsid w:val="4F277BCA"/>
    <w:rsid w:val="501A0388"/>
    <w:rsid w:val="51454E60"/>
    <w:rsid w:val="517B731A"/>
    <w:rsid w:val="51A521F8"/>
    <w:rsid w:val="540104E4"/>
    <w:rsid w:val="543D1431"/>
    <w:rsid w:val="5536095F"/>
    <w:rsid w:val="56617B1E"/>
    <w:rsid w:val="567D15B1"/>
    <w:rsid w:val="573B44CB"/>
    <w:rsid w:val="574761CB"/>
    <w:rsid w:val="577A7226"/>
    <w:rsid w:val="57DE7290"/>
    <w:rsid w:val="58990501"/>
    <w:rsid w:val="590D168A"/>
    <w:rsid w:val="59590F80"/>
    <w:rsid w:val="59B64662"/>
    <w:rsid w:val="5A4E27DD"/>
    <w:rsid w:val="5A96395C"/>
    <w:rsid w:val="5B3C6206"/>
    <w:rsid w:val="5BD44959"/>
    <w:rsid w:val="5CC372E6"/>
    <w:rsid w:val="5E1F0EC7"/>
    <w:rsid w:val="5E3D6352"/>
    <w:rsid w:val="5E605122"/>
    <w:rsid w:val="5EDC27C8"/>
    <w:rsid w:val="61E146D4"/>
    <w:rsid w:val="620E0632"/>
    <w:rsid w:val="64005DE5"/>
    <w:rsid w:val="643D0161"/>
    <w:rsid w:val="65900927"/>
    <w:rsid w:val="65A92947"/>
    <w:rsid w:val="65F15AA7"/>
    <w:rsid w:val="66A40E62"/>
    <w:rsid w:val="66A73043"/>
    <w:rsid w:val="67B45417"/>
    <w:rsid w:val="69816D7C"/>
    <w:rsid w:val="69C76017"/>
    <w:rsid w:val="6A673B36"/>
    <w:rsid w:val="6BFA2A99"/>
    <w:rsid w:val="6CB54B0E"/>
    <w:rsid w:val="6D9A72A3"/>
    <w:rsid w:val="6DFA0F67"/>
    <w:rsid w:val="6E2A2717"/>
    <w:rsid w:val="6E385050"/>
    <w:rsid w:val="6ED00F45"/>
    <w:rsid w:val="6F3D7B93"/>
    <w:rsid w:val="6FB4149D"/>
    <w:rsid w:val="70BE5790"/>
    <w:rsid w:val="711B33AB"/>
    <w:rsid w:val="71DF6F94"/>
    <w:rsid w:val="71F36014"/>
    <w:rsid w:val="72A76402"/>
    <w:rsid w:val="73422E69"/>
    <w:rsid w:val="738239FA"/>
    <w:rsid w:val="748762C7"/>
    <w:rsid w:val="74911176"/>
    <w:rsid w:val="74DA5656"/>
    <w:rsid w:val="75272FDF"/>
    <w:rsid w:val="755A27D1"/>
    <w:rsid w:val="757533F6"/>
    <w:rsid w:val="76515C91"/>
    <w:rsid w:val="765C0084"/>
    <w:rsid w:val="76992564"/>
    <w:rsid w:val="795C64FF"/>
    <w:rsid w:val="79FB12E1"/>
    <w:rsid w:val="7A0E64F8"/>
    <w:rsid w:val="7A1B1B10"/>
    <w:rsid w:val="7A4D3D91"/>
    <w:rsid w:val="7A613399"/>
    <w:rsid w:val="7A7B26AD"/>
    <w:rsid w:val="7AB41653"/>
    <w:rsid w:val="7ADE13D7"/>
    <w:rsid w:val="7B2E5427"/>
    <w:rsid w:val="7C90776F"/>
    <w:rsid w:val="7D152080"/>
    <w:rsid w:val="7D88564C"/>
    <w:rsid w:val="7D950462"/>
    <w:rsid w:val="7DE009E5"/>
    <w:rsid w:val="7E3D2030"/>
    <w:rsid w:val="7E5E3F86"/>
    <w:rsid w:val="7E6C2038"/>
    <w:rsid w:val="7E8D01BE"/>
    <w:rsid w:val="7F1929EC"/>
    <w:rsid w:val="7F3040AF"/>
    <w:rsid w:val="7F74591C"/>
    <w:rsid w:val="7FA4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BodyText1I2"/>
    <w:basedOn w:val="15"/>
    <w:qFormat/>
    <w:uiPriority w:val="0"/>
    <w:pPr>
      <w:spacing w:after="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paragraph" w:customStyle="1" w:styleId="15">
    <w:name w:val="BodyTextIndent"/>
    <w:basedOn w:val="1"/>
    <w:next w:val="16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21"/>
      <w:lang w:val="en-US" w:eastAsia="zh-CN" w:bidi="ar-SA"/>
    </w:rPr>
  </w:style>
  <w:style w:type="paragraph" w:customStyle="1" w:styleId="16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eastAsia="仿宋"/>
      <w:kern w:val="2"/>
      <w:sz w:val="32"/>
      <w:lang w:val="en-US" w:eastAsia="zh-CN" w:bidi="ar-SA"/>
    </w:rPr>
  </w:style>
  <w:style w:type="paragraph" w:customStyle="1" w:styleId="17">
    <w:name w:val="印制机关"/>
    <w:qFormat/>
    <w:uiPriority w:val="0"/>
    <w:pPr>
      <w:spacing w:line="480" w:lineRule="exact"/>
    </w:pPr>
    <w:rPr>
      <w:rFonts w:ascii="仿宋_GB2312" w:hAnsi="文星仿宋" w:eastAsia="仿宋_GB2312" w:cstheme="minorBidi"/>
      <w:spacing w:val="8"/>
      <w:kern w:val="2"/>
      <w:position w:val="4"/>
      <w:sz w:val="30"/>
      <w:szCs w:val="30"/>
      <w:lang w:val="en-US" w:eastAsia="zh-CN" w:bidi="ar-SA"/>
    </w:rPr>
  </w:style>
  <w:style w:type="paragraph" w:customStyle="1" w:styleId="18">
    <w:name w:val="印制日期"/>
    <w:qFormat/>
    <w:uiPriority w:val="0"/>
    <w:pPr>
      <w:spacing w:line="480" w:lineRule="exact"/>
      <w:ind w:right="295"/>
      <w:jc w:val="right"/>
    </w:pPr>
    <w:rPr>
      <w:rFonts w:ascii="仿宋_GB2312" w:hAnsi="文星仿宋" w:eastAsia="仿宋_GB2312" w:cstheme="minorBidi"/>
      <w:spacing w:val="8"/>
      <w:kern w:val="2"/>
      <w:position w:val="4"/>
      <w:sz w:val="30"/>
      <w:szCs w:val="30"/>
      <w:lang w:val="en-US" w:eastAsia="zh-CN" w:bidi="ar-SA"/>
    </w:rPr>
  </w:style>
  <w:style w:type="character" w:customStyle="1" w:styleId="19">
    <w:name w:val="NormalCharacter"/>
    <w:link w:val="20"/>
    <w:qFormat/>
    <w:uiPriority w:val="0"/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20">
    <w:name w:val="UserStyle_41"/>
    <w:basedOn w:val="1"/>
    <w:link w:val="19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21">
    <w:name w:val="UserStyle_29"/>
    <w:next w:val="22"/>
    <w:qFormat/>
    <w:uiPriority w:val="0"/>
    <w:pPr>
      <w:jc w:val="both"/>
      <w:textAlignment w:val="baseline"/>
    </w:pPr>
    <w:rPr>
      <w:rFonts w:ascii="仿宋_GB2312" w:hAnsi="宋体" w:eastAsia="仿宋_GB2312" w:cs="Times New Roman"/>
      <w:bCs/>
      <w:kern w:val="2"/>
      <w:sz w:val="32"/>
      <w:szCs w:val="32"/>
      <w:lang w:val="en-US" w:eastAsia="zh-CN" w:bidi="ar-SA"/>
    </w:rPr>
  </w:style>
  <w:style w:type="paragraph" w:customStyle="1" w:styleId="22">
    <w:name w:val="HtmlAddress"/>
    <w:basedOn w:val="1"/>
    <w:qFormat/>
    <w:uiPriority w:val="0"/>
    <w:pPr>
      <w:jc w:val="both"/>
      <w:textAlignment w:val="baseline"/>
    </w:pPr>
    <w:rPr>
      <w:i/>
      <w:kern w:val="2"/>
      <w:sz w:val="21"/>
      <w:lang w:val="en-US" w:eastAsia="zh-CN" w:bidi="ar-SA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lang w:val="en-US" w:eastAsia="zh-CN"/>
    </w:rPr>
  </w:style>
  <w:style w:type="paragraph" w:customStyle="1" w:styleId="24">
    <w:name w:val="正文 New"/>
    <w:next w:val="25"/>
    <w:qFormat/>
    <w:uiPriority w:val="0"/>
    <w:pPr>
      <w:widowControl w:val="0"/>
      <w:jc w:val="both"/>
    </w:pPr>
    <w:rPr>
      <w:rFonts w:ascii="仿宋_GB2312" w:hAnsi="永中宋体" w:eastAsia="仿宋_GB2312" w:cs="永中宋体"/>
      <w:bCs/>
      <w:kern w:val="2"/>
      <w:sz w:val="32"/>
      <w:szCs w:val="32"/>
      <w:lang w:val="en-US" w:eastAsia="zh-CN" w:bidi="ar-SA"/>
    </w:rPr>
  </w:style>
  <w:style w:type="paragraph" w:customStyle="1" w:styleId="25">
    <w:name w:val="正文首行缩进 21"/>
    <w:basedOn w:val="26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6">
    <w:name w:val="正文文本缩进1"/>
    <w:basedOn w:val="1"/>
    <w:next w:val="27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customStyle="1" w:styleId="27">
    <w:name w:val="正文缩进1"/>
    <w:basedOn w:val="24"/>
    <w:qFormat/>
    <w:uiPriority w:val="0"/>
    <w:pPr>
      <w:ind w:firstLine="200" w:firstLineChars="200"/>
    </w:pPr>
    <w:rPr>
      <w:rFonts w:eastAsia="仿宋"/>
      <w:sz w:val="32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 First Indent 21"/>
    <w:basedOn w:val="30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30">
    <w:name w:val="Body Text Indent1"/>
    <w:basedOn w:val="1"/>
    <w:next w:val="3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</w:rPr>
  </w:style>
  <w:style w:type="paragraph" w:customStyle="1" w:styleId="31">
    <w:name w:val="Normal Indent1"/>
    <w:basedOn w:val="1"/>
    <w:next w:val="32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customStyle="1" w:styleId="32">
    <w:name w:val="明显引用1"/>
    <w:basedOn w:val="24"/>
    <w:next w:val="1"/>
    <w:qFormat/>
    <w:uiPriority w:val="0"/>
    <w:pPr>
      <w:widowControl/>
      <w:wordWrap w:val="0"/>
      <w:spacing w:before="360" w:beforeLines="0" w:after="360" w:afterLines="0"/>
      <w:ind w:left="950" w:right="950"/>
      <w:jc w:val="center"/>
    </w:pPr>
    <w:rPr>
      <w:i/>
      <w:iCs/>
      <w:kern w:val="0"/>
    </w:rPr>
  </w:style>
  <w:style w:type="paragraph" w:customStyle="1" w:styleId="33">
    <w:name w:val="样式 正文11 + 首行缩进:  2 字符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宋体" w:hAnsi="宋体" w:eastAsia="宋体" w:cs="宋体"/>
      <w:color w:val="FF0000"/>
      <w:kern w:val="2"/>
      <w:sz w:val="28"/>
      <w:lang w:val="en-US" w:eastAsia="zh-CN" w:bidi="ar-SA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6577</Words>
  <Characters>6689</Characters>
  <Lines>0</Lines>
  <Paragraphs>0</Paragraphs>
  <TotalTime>2</TotalTime>
  <ScaleCrop>false</ScaleCrop>
  <LinksUpToDate>false</LinksUpToDate>
  <CharactersWithSpaces>6904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2018-03-05T00:53:00Z</dcterms:created>
  <dc:creator>菩提树</dc:creator>
  <cp:lastModifiedBy>Administrator</cp:lastModifiedBy>
  <cp:lastPrinted>2023-05-26T01:24:00Z</cp:lastPrinted>
  <dcterms:modified xsi:type="dcterms:W3CDTF">2023-06-05T02:19:16Z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CF4551E11698496D956461B6347B3D0C_13</vt:lpwstr>
  </property>
</Properties>
</file>